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A8060" w14:textId="77777777" w:rsidR="00B75F6D" w:rsidRPr="00B75F6D" w:rsidRDefault="00B75F6D" w:rsidP="00B75F6D">
      <w:pPr>
        <w:pStyle w:val="ListParagraph"/>
        <w:rPr>
          <w:rFonts w:ascii="Arial" w:hAnsi="Arial"/>
        </w:rPr>
      </w:pPr>
    </w:p>
    <w:p w14:paraId="69031C39" w14:textId="77777777" w:rsidR="00B75F6D" w:rsidRPr="00B75F6D" w:rsidRDefault="00B75F6D" w:rsidP="00B75F6D">
      <w:pPr>
        <w:pStyle w:val="ListParagraph"/>
        <w:spacing w:after="160" w:line="259" w:lineRule="auto"/>
        <w:rPr>
          <w:rFonts w:ascii="Arial" w:hAnsi="Arial"/>
        </w:rPr>
      </w:pPr>
    </w:p>
    <w:p w14:paraId="12CADE3A" w14:textId="36464D22" w:rsidR="00B75F6D" w:rsidRPr="00B75F6D" w:rsidRDefault="00B75F6D" w:rsidP="00B75F6D">
      <w:pPr>
        <w:pStyle w:val="ListParagraph"/>
        <w:spacing w:after="160" w:line="259" w:lineRule="auto"/>
        <w:rPr>
          <w:rFonts w:ascii="Arial" w:hAnsi="Arial"/>
        </w:rPr>
      </w:pPr>
    </w:p>
    <w:p w14:paraId="4209F3E2" w14:textId="12DDF979" w:rsidR="00B75F6D" w:rsidRPr="00B75F6D" w:rsidRDefault="00B75F6D" w:rsidP="00B75F6D">
      <w:pPr>
        <w:pStyle w:val="ListParagraph"/>
        <w:spacing w:after="160" w:line="259" w:lineRule="auto"/>
        <w:rPr>
          <w:rFonts w:ascii="Arial" w:hAnsi="Arial"/>
        </w:rPr>
      </w:pPr>
    </w:p>
    <w:p w14:paraId="68B85EA9" w14:textId="7E58D897" w:rsidR="00B75F6D" w:rsidRPr="00B75F6D" w:rsidRDefault="00B75F6D" w:rsidP="00B75F6D">
      <w:pPr>
        <w:pStyle w:val="ListParagraph"/>
        <w:spacing w:after="160" w:line="259" w:lineRule="auto"/>
        <w:ind w:left="0"/>
        <w:rPr>
          <w:rFonts w:ascii="Arial" w:hAnsi="Arial"/>
        </w:rPr>
      </w:pPr>
      <w:r w:rsidRPr="00B75F6D">
        <w:rPr>
          <w:rFonts w:ascii="Arial" w:hAnsi="Arial"/>
        </w:rPr>
        <w:t>1 October 2020</w:t>
      </w:r>
    </w:p>
    <w:p w14:paraId="07F1F4FE" w14:textId="68505C6F" w:rsidR="00B75F6D" w:rsidRPr="00B75F6D" w:rsidRDefault="00B75F6D" w:rsidP="00B75F6D">
      <w:pPr>
        <w:pStyle w:val="ListParagraph"/>
        <w:spacing w:after="160" w:line="259" w:lineRule="auto"/>
        <w:rPr>
          <w:rFonts w:ascii="Arial" w:hAnsi="Arial"/>
        </w:rPr>
      </w:pPr>
    </w:p>
    <w:p w14:paraId="6DF6F5F3" w14:textId="77777777" w:rsidR="00B75F6D" w:rsidRPr="00B75F6D" w:rsidRDefault="00B75F6D" w:rsidP="00B75F6D">
      <w:pPr>
        <w:pStyle w:val="ListParagraph"/>
        <w:spacing w:after="160" w:line="259" w:lineRule="auto"/>
        <w:rPr>
          <w:rFonts w:ascii="Arial" w:hAnsi="Arial"/>
        </w:rPr>
      </w:pPr>
    </w:p>
    <w:p w14:paraId="6B7BAF4D" w14:textId="6C9E5FB7" w:rsidR="00B75F6D" w:rsidRPr="00B75F6D" w:rsidRDefault="00B75F6D" w:rsidP="00B75F6D">
      <w:pPr>
        <w:pStyle w:val="ListParagraph"/>
        <w:numPr>
          <w:ilvl w:val="0"/>
          <w:numId w:val="23"/>
        </w:numPr>
        <w:spacing w:after="160" w:line="259" w:lineRule="auto"/>
        <w:rPr>
          <w:rFonts w:ascii="Arial" w:hAnsi="Arial"/>
        </w:rPr>
      </w:pPr>
      <w:r w:rsidRPr="00B75F6D">
        <w:rPr>
          <w:rFonts w:ascii="Arial" w:hAnsi="Arial"/>
        </w:rPr>
        <w:t>Are there benefits to the body in complying with the draft Welsh language standards proposed in this document? YES/NO</w:t>
      </w:r>
    </w:p>
    <w:p w14:paraId="0301014E" w14:textId="77777777" w:rsidR="00B75F6D" w:rsidRPr="00B75F6D" w:rsidRDefault="00B75F6D" w:rsidP="00B75F6D">
      <w:pPr>
        <w:rPr>
          <w:rFonts w:ascii="Arial" w:hAnsi="Arial" w:cs="Arial"/>
        </w:rPr>
      </w:pPr>
    </w:p>
    <w:p w14:paraId="589BC934" w14:textId="317A208D" w:rsidR="00B75F6D" w:rsidRPr="00B75F6D" w:rsidRDefault="00B75F6D" w:rsidP="00B75F6D">
      <w:pPr>
        <w:rPr>
          <w:rFonts w:ascii="Arial" w:hAnsi="Arial" w:cs="Arial"/>
        </w:rPr>
      </w:pPr>
      <w:r w:rsidRPr="00B75F6D">
        <w:rPr>
          <w:rFonts w:ascii="Arial" w:hAnsi="Arial" w:cs="Arial"/>
        </w:rPr>
        <w:t xml:space="preserve">If yes, what are these benefits? </w:t>
      </w:r>
    </w:p>
    <w:p w14:paraId="353F9944" w14:textId="77777777" w:rsidR="00B75F6D" w:rsidRPr="00B75F6D" w:rsidRDefault="00B75F6D" w:rsidP="00B75F6D">
      <w:pPr>
        <w:rPr>
          <w:rFonts w:ascii="Arial" w:hAnsi="Arial" w:cs="Arial"/>
        </w:rPr>
      </w:pPr>
    </w:p>
    <w:tbl>
      <w:tblPr>
        <w:tblStyle w:val="TableGrid"/>
        <w:tblW w:w="0" w:type="auto"/>
        <w:tblLook w:val="04A0" w:firstRow="1" w:lastRow="0" w:firstColumn="1" w:lastColumn="0" w:noHBand="0" w:noVBand="1"/>
      </w:tblPr>
      <w:tblGrid>
        <w:gridCol w:w="2122"/>
        <w:gridCol w:w="6888"/>
      </w:tblGrid>
      <w:tr w:rsidR="00B75F6D" w:rsidRPr="00B75F6D" w14:paraId="60200EAB" w14:textId="77777777" w:rsidTr="00EE6DF1">
        <w:tc>
          <w:tcPr>
            <w:tcW w:w="2122" w:type="dxa"/>
          </w:tcPr>
          <w:p w14:paraId="6B82AEC0" w14:textId="77777777" w:rsidR="00B75F6D" w:rsidRPr="00B75F6D" w:rsidRDefault="00B75F6D" w:rsidP="00EE6DF1">
            <w:pPr>
              <w:rPr>
                <w:rFonts w:ascii="Arial" w:hAnsi="Arial" w:cs="Arial"/>
                <w:sz w:val="24"/>
                <w:szCs w:val="24"/>
              </w:rPr>
            </w:pPr>
            <w:r w:rsidRPr="00B75F6D">
              <w:rPr>
                <w:rFonts w:ascii="Arial" w:hAnsi="Arial" w:cs="Arial"/>
                <w:sz w:val="24"/>
                <w:szCs w:val="24"/>
              </w:rPr>
              <w:t>Type of benefit</w:t>
            </w:r>
          </w:p>
        </w:tc>
        <w:tc>
          <w:tcPr>
            <w:tcW w:w="6894" w:type="dxa"/>
          </w:tcPr>
          <w:p w14:paraId="0F76EAF2" w14:textId="77777777" w:rsidR="00B75F6D" w:rsidRPr="00B75F6D" w:rsidRDefault="00B75F6D" w:rsidP="00EE6DF1">
            <w:pPr>
              <w:rPr>
                <w:rFonts w:ascii="Arial" w:hAnsi="Arial" w:cs="Arial"/>
                <w:sz w:val="24"/>
                <w:szCs w:val="24"/>
              </w:rPr>
            </w:pPr>
            <w:r w:rsidRPr="00B75F6D">
              <w:rPr>
                <w:rFonts w:ascii="Arial" w:hAnsi="Arial" w:cs="Arial"/>
                <w:sz w:val="24"/>
                <w:szCs w:val="24"/>
              </w:rPr>
              <w:t>Description of the benefit of complying with the proposed standards</w:t>
            </w:r>
          </w:p>
        </w:tc>
      </w:tr>
      <w:tr w:rsidR="00B75F6D" w:rsidRPr="00B75F6D" w14:paraId="10B51223" w14:textId="77777777" w:rsidTr="00EE6DF1">
        <w:tc>
          <w:tcPr>
            <w:tcW w:w="2122" w:type="dxa"/>
          </w:tcPr>
          <w:p w14:paraId="48DF9E45" w14:textId="77777777" w:rsidR="00B75F6D" w:rsidRPr="00B75F6D" w:rsidRDefault="00B75F6D" w:rsidP="00EE6DF1">
            <w:pPr>
              <w:rPr>
                <w:rFonts w:ascii="Arial" w:hAnsi="Arial" w:cs="Arial"/>
                <w:sz w:val="24"/>
                <w:szCs w:val="24"/>
              </w:rPr>
            </w:pPr>
            <w:r w:rsidRPr="00B75F6D">
              <w:rPr>
                <w:rFonts w:ascii="Arial" w:hAnsi="Arial" w:cs="Arial"/>
                <w:sz w:val="24"/>
                <w:szCs w:val="24"/>
              </w:rPr>
              <w:t>Economic benefit</w:t>
            </w:r>
          </w:p>
          <w:p w14:paraId="45C7A956" w14:textId="77777777" w:rsidR="00B75F6D" w:rsidRPr="00B75F6D" w:rsidRDefault="00B75F6D" w:rsidP="00EE6DF1">
            <w:pPr>
              <w:rPr>
                <w:rFonts w:ascii="Arial" w:hAnsi="Arial" w:cs="Arial"/>
                <w:sz w:val="24"/>
                <w:szCs w:val="24"/>
              </w:rPr>
            </w:pPr>
          </w:p>
        </w:tc>
        <w:tc>
          <w:tcPr>
            <w:tcW w:w="6894" w:type="dxa"/>
          </w:tcPr>
          <w:p w14:paraId="17B83424" w14:textId="77777777" w:rsidR="00B75F6D" w:rsidRPr="00B75F6D" w:rsidRDefault="00B75F6D" w:rsidP="00EE6DF1">
            <w:pPr>
              <w:rPr>
                <w:rFonts w:ascii="Arial" w:hAnsi="Arial" w:cs="Arial"/>
                <w:sz w:val="24"/>
                <w:szCs w:val="24"/>
              </w:rPr>
            </w:pPr>
            <w:r w:rsidRPr="00B75F6D">
              <w:rPr>
                <w:rFonts w:ascii="Arial" w:hAnsi="Arial" w:cs="Arial"/>
                <w:sz w:val="24"/>
                <w:szCs w:val="24"/>
              </w:rPr>
              <w:t>We are unable to estimate the economic benefit of complying with the proposed standards.</w:t>
            </w:r>
            <w:r w:rsidRPr="00B75F6D">
              <w:rPr>
                <w:rFonts w:ascii="Arial" w:hAnsi="Arial" w:cs="Arial"/>
                <w:sz w:val="24"/>
                <w:szCs w:val="24"/>
              </w:rPr>
              <w:br/>
            </w:r>
            <w:r w:rsidRPr="00B75F6D">
              <w:rPr>
                <w:rFonts w:ascii="Arial" w:hAnsi="Arial" w:cs="Arial"/>
                <w:sz w:val="24"/>
                <w:szCs w:val="24"/>
              </w:rPr>
              <w:br/>
              <w:t xml:space="preserve">While we have annexed a breakdown of the estimated costs involved, it is outside of our field of expertise to estimate the economic benefits of the new standards. </w:t>
            </w:r>
            <w:r w:rsidRPr="00B75F6D">
              <w:rPr>
                <w:rFonts w:ascii="Arial" w:hAnsi="Arial" w:cs="Arial"/>
                <w:sz w:val="24"/>
                <w:szCs w:val="24"/>
              </w:rPr>
              <w:br/>
            </w:r>
          </w:p>
        </w:tc>
      </w:tr>
      <w:tr w:rsidR="00B75F6D" w:rsidRPr="00B75F6D" w14:paraId="3365EAE6" w14:textId="77777777" w:rsidTr="00EE6DF1">
        <w:tc>
          <w:tcPr>
            <w:tcW w:w="2122" w:type="dxa"/>
          </w:tcPr>
          <w:p w14:paraId="0D858004" w14:textId="77777777" w:rsidR="00B75F6D" w:rsidRPr="00B75F6D" w:rsidRDefault="00B75F6D" w:rsidP="00EE6DF1">
            <w:pPr>
              <w:rPr>
                <w:rFonts w:ascii="Arial" w:hAnsi="Arial" w:cs="Arial"/>
                <w:sz w:val="24"/>
                <w:szCs w:val="24"/>
              </w:rPr>
            </w:pPr>
            <w:r w:rsidRPr="00B75F6D">
              <w:rPr>
                <w:rFonts w:ascii="Arial" w:hAnsi="Arial" w:cs="Arial"/>
                <w:sz w:val="24"/>
                <w:szCs w:val="24"/>
              </w:rPr>
              <w:t>Social Benefit</w:t>
            </w:r>
          </w:p>
          <w:p w14:paraId="558CCEE0" w14:textId="77777777" w:rsidR="00B75F6D" w:rsidRPr="00B75F6D" w:rsidRDefault="00B75F6D" w:rsidP="00EE6DF1">
            <w:pPr>
              <w:rPr>
                <w:rFonts w:ascii="Arial" w:hAnsi="Arial" w:cs="Arial"/>
                <w:sz w:val="24"/>
                <w:szCs w:val="24"/>
              </w:rPr>
            </w:pPr>
          </w:p>
        </w:tc>
        <w:tc>
          <w:tcPr>
            <w:tcW w:w="6894" w:type="dxa"/>
          </w:tcPr>
          <w:p w14:paraId="15E954C6"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We are not able to provide an estimate for the social benefit of the new standards. The HCPC appreciates and is supportive of the benefits which members of the public receive when they </w:t>
            </w:r>
            <w:proofErr w:type="gramStart"/>
            <w:r w:rsidRPr="00B75F6D">
              <w:rPr>
                <w:rFonts w:ascii="Arial" w:hAnsi="Arial" w:cs="Arial"/>
                <w:sz w:val="24"/>
                <w:szCs w:val="24"/>
              </w:rPr>
              <w:t>are able to</w:t>
            </w:r>
            <w:proofErr w:type="gramEnd"/>
            <w:r w:rsidRPr="00B75F6D">
              <w:rPr>
                <w:rFonts w:ascii="Arial" w:hAnsi="Arial" w:cs="Arial"/>
                <w:sz w:val="24"/>
                <w:szCs w:val="24"/>
              </w:rPr>
              <w:t xml:space="preserve"> deal with regulators in the language of their choice. </w:t>
            </w:r>
          </w:p>
        </w:tc>
      </w:tr>
      <w:tr w:rsidR="00B75F6D" w:rsidRPr="00B75F6D" w14:paraId="0CD5EF82" w14:textId="77777777" w:rsidTr="00EE6DF1">
        <w:tc>
          <w:tcPr>
            <w:tcW w:w="2122" w:type="dxa"/>
          </w:tcPr>
          <w:p w14:paraId="67F15185" w14:textId="77777777" w:rsidR="00B75F6D" w:rsidRPr="00B75F6D" w:rsidRDefault="00B75F6D" w:rsidP="00EE6DF1">
            <w:pPr>
              <w:rPr>
                <w:rFonts w:ascii="Arial" w:hAnsi="Arial" w:cs="Arial"/>
                <w:sz w:val="24"/>
                <w:szCs w:val="24"/>
              </w:rPr>
            </w:pPr>
            <w:r w:rsidRPr="00B75F6D">
              <w:rPr>
                <w:rFonts w:ascii="Arial" w:hAnsi="Arial" w:cs="Arial"/>
                <w:sz w:val="24"/>
                <w:szCs w:val="24"/>
              </w:rPr>
              <w:t>Environmental</w:t>
            </w:r>
          </w:p>
          <w:p w14:paraId="2FD13E99" w14:textId="77777777" w:rsidR="00B75F6D" w:rsidRPr="00B75F6D" w:rsidRDefault="00B75F6D" w:rsidP="00EE6DF1">
            <w:pPr>
              <w:rPr>
                <w:rFonts w:ascii="Arial" w:hAnsi="Arial" w:cs="Arial"/>
                <w:sz w:val="24"/>
                <w:szCs w:val="24"/>
              </w:rPr>
            </w:pPr>
          </w:p>
        </w:tc>
        <w:tc>
          <w:tcPr>
            <w:tcW w:w="6894" w:type="dxa"/>
          </w:tcPr>
          <w:p w14:paraId="095B40E9" w14:textId="77777777" w:rsidR="00B75F6D" w:rsidRPr="00B75F6D" w:rsidRDefault="00B75F6D" w:rsidP="00EE6DF1">
            <w:pPr>
              <w:rPr>
                <w:rFonts w:ascii="Arial" w:hAnsi="Arial" w:cs="Arial"/>
                <w:sz w:val="24"/>
                <w:szCs w:val="24"/>
              </w:rPr>
            </w:pPr>
            <w:r w:rsidRPr="00B75F6D">
              <w:rPr>
                <w:rFonts w:ascii="Arial" w:hAnsi="Arial" w:cs="Arial"/>
                <w:sz w:val="24"/>
                <w:szCs w:val="24"/>
              </w:rPr>
              <w:t>We are unable to estimate the environmental benefits of complying with the proposed standards</w:t>
            </w:r>
          </w:p>
        </w:tc>
      </w:tr>
      <w:tr w:rsidR="00B75F6D" w:rsidRPr="00B75F6D" w14:paraId="64704C9D" w14:textId="77777777" w:rsidTr="00EE6DF1">
        <w:tc>
          <w:tcPr>
            <w:tcW w:w="2122" w:type="dxa"/>
          </w:tcPr>
          <w:p w14:paraId="0651FEEF" w14:textId="77777777" w:rsidR="00B75F6D" w:rsidRPr="00B75F6D" w:rsidRDefault="00B75F6D" w:rsidP="00EE6DF1">
            <w:pPr>
              <w:rPr>
                <w:rFonts w:ascii="Arial" w:hAnsi="Arial" w:cs="Arial"/>
                <w:sz w:val="24"/>
                <w:szCs w:val="24"/>
              </w:rPr>
            </w:pPr>
            <w:r w:rsidRPr="00B75F6D">
              <w:rPr>
                <w:rFonts w:ascii="Arial" w:hAnsi="Arial" w:cs="Arial"/>
                <w:sz w:val="24"/>
                <w:szCs w:val="24"/>
              </w:rPr>
              <w:t>Linguistic benefit</w:t>
            </w:r>
          </w:p>
          <w:p w14:paraId="12ADCCDA" w14:textId="77777777" w:rsidR="00B75F6D" w:rsidRPr="00B75F6D" w:rsidRDefault="00B75F6D" w:rsidP="00EE6DF1">
            <w:pPr>
              <w:rPr>
                <w:rFonts w:ascii="Arial" w:hAnsi="Arial" w:cs="Arial"/>
                <w:sz w:val="24"/>
                <w:szCs w:val="24"/>
              </w:rPr>
            </w:pPr>
          </w:p>
        </w:tc>
        <w:tc>
          <w:tcPr>
            <w:tcW w:w="6894" w:type="dxa"/>
          </w:tcPr>
          <w:p w14:paraId="30987940"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We are unable to estimate the linguistic benefits of complying with the new standards. However, as above, the HCPC is supportive of the rights of Welsh-speakers to interact with the organisation in Welsh. </w:t>
            </w:r>
          </w:p>
        </w:tc>
      </w:tr>
      <w:tr w:rsidR="00B75F6D" w:rsidRPr="00B75F6D" w14:paraId="7734802E" w14:textId="77777777" w:rsidTr="00EE6DF1">
        <w:tc>
          <w:tcPr>
            <w:tcW w:w="2122" w:type="dxa"/>
          </w:tcPr>
          <w:p w14:paraId="4337FE00" w14:textId="77777777" w:rsidR="00B75F6D" w:rsidRPr="00B75F6D" w:rsidRDefault="00B75F6D" w:rsidP="00EE6DF1">
            <w:pPr>
              <w:rPr>
                <w:rFonts w:ascii="Arial" w:hAnsi="Arial" w:cs="Arial"/>
                <w:sz w:val="24"/>
                <w:szCs w:val="24"/>
              </w:rPr>
            </w:pPr>
            <w:r w:rsidRPr="00B75F6D">
              <w:rPr>
                <w:rFonts w:ascii="Arial" w:hAnsi="Arial" w:cs="Arial"/>
                <w:sz w:val="24"/>
                <w:szCs w:val="24"/>
              </w:rPr>
              <w:t>Other</w:t>
            </w:r>
          </w:p>
        </w:tc>
        <w:tc>
          <w:tcPr>
            <w:tcW w:w="6894" w:type="dxa"/>
          </w:tcPr>
          <w:p w14:paraId="56180D1B"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The HCPC supports the aims of the standards and is committed to treating the English and Welsh languages </w:t>
            </w:r>
            <w:proofErr w:type="gramStart"/>
            <w:r w:rsidRPr="00B75F6D">
              <w:rPr>
                <w:rFonts w:ascii="Arial" w:hAnsi="Arial" w:cs="Arial"/>
                <w:sz w:val="24"/>
                <w:szCs w:val="24"/>
              </w:rPr>
              <w:t>on the basis of</w:t>
            </w:r>
            <w:proofErr w:type="gramEnd"/>
            <w:r w:rsidRPr="00B75F6D">
              <w:rPr>
                <w:rFonts w:ascii="Arial" w:hAnsi="Arial" w:cs="Arial"/>
                <w:sz w:val="24"/>
                <w:szCs w:val="24"/>
              </w:rPr>
              <w:t xml:space="preserve"> equality. By implementing our Welsh Language </w:t>
            </w:r>
            <w:proofErr w:type="gramStart"/>
            <w:r w:rsidRPr="00B75F6D">
              <w:rPr>
                <w:rFonts w:ascii="Arial" w:hAnsi="Arial" w:cs="Arial"/>
                <w:sz w:val="24"/>
                <w:szCs w:val="24"/>
              </w:rPr>
              <w:t>Scheme</w:t>
            </w:r>
            <w:proofErr w:type="gramEnd"/>
            <w:r w:rsidRPr="00B75F6D">
              <w:rPr>
                <w:rFonts w:ascii="Arial" w:hAnsi="Arial" w:cs="Arial"/>
                <w:sz w:val="24"/>
                <w:szCs w:val="24"/>
              </w:rPr>
              <w:t xml:space="preserve"> we are already complying with many of the service delivery standards as well as standards relating to legal proceedings. </w:t>
            </w:r>
          </w:p>
          <w:p w14:paraId="73BBAD1B" w14:textId="77777777" w:rsidR="00B75F6D" w:rsidRPr="00B75F6D" w:rsidRDefault="00B75F6D" w:rsidP="00EE6DF1">
            <w:pPr>
              <w:rPr>
                <w:rFonts w:ascii="Arial" w:hAnsi="Arial" w:cs="Arial"/>
                <w:sz w:val="24"/>
                <w:szCs w:val="24"/>
              </w:rPr>
            </w:pPr>
          </w:p>
          <w:p w14:paraId="01ECDF05"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The organisation is however concerned with the proportionality of the standards as they relate to the HCPC. As a four-country regulator of 15 different health and care professions, we are committed to providing right touch regulation which protects the public and which offers value for registrants. </w:t>
            </w:r>
            <w:proofErr w:type="gramStart"/>
            <w:r w:rsidRPr="00B75F6D">
              <w:rPr>
                <w:rFonts w:ascii="Arial" w:hAnsi="Arial" w:cs="Arial"/>
                <w:sz w:val="24"/>
                <w:szCs w:val="24"/>
              </w:rPr>
              <w:t>In light of</w:t>
            </w:r>
            <w:proofErr w:type="gramEnd"/>
            <w:r w:rsidRPr="00B75F6D">
              <w:rPr>
                <w:rFonts w:ascii="Arial" w:hAnsi="Arial" w:cs="Arial"/>
                <w:sz w:val="24"/>
                <w:szCs w:val="24"/>
              </w:rPr>
              <w:t xml:space="preserve"> this we are concerned about the use of resources for the provision of Welsh language services and the impact that this use of resources may have on existing obligations to the public and registrants. </w:t>
            </w:r>
          </w:p>
        </w:tc>
      </w:tr>
    </w:tbl>
    <w:p w14:paraId="34265BDA" w14:textId="50983E0C" w:rsidR="00B75F6D" w:rsidRPr="00B75F6D" w:rsidRDefault="00B75F6D" w:rsidP="00B75F6D">
      <w:pPr>
        <w:rPr>
          <w:rFonts w:ascii="Arial" w:hAnsi="Arial" w:cs="Arial"/>
        </w:rPr>
      </w:pPr>
    </w:p>
    <w:p w14:paraId="7B9125E7" w14:textId="77777777" w:rsidR="00B75F6D" w:rsidRPr="00B75F6D" w:rsidRDefault="00B75F6D" w:rsidP="00B75F6D">
      <w:pPr>
        <w:rPr>
          <w:rFonts w:ascii="Arial" w:hAnsi="Arial" w:cs="Arial"/>
        </w:rPr>
      </w:pPr>
    </w:p>
    <w:p w14:paraId="3E9E7D68" w14:textId="77777777" w:rsidR="00B75F6D" w:rsidRPr="00B75F6D" w:rsidRDefault="00B75F6D" w:rsidP="00B75F6D">
      <w:pPr>
        <w:rPr>
          <w:rFonts w:ascii="Arial" w:hAnsi="Arial" w:cs="Arial"/>
        </w:rPr>
      </w:pPr>
      <w:r w:rsidRPr="00B75F6D">
        <w:rPr>
          <w:rFonts w:ascii="Arial" w:hAnsi="Arial" w:cs="Arial"/>
        </w:rPr>
        <w:lastRenderedPageBreak/>
        <w:t>2. What is the annual cost of complying with the current Welsh Language Scheme?</w:t>
      </w:r>
    </w:p>
    <w:tbl>
      <w:tblPr>
        <w:tblStyle w:val="TableGrid"/>
        <w:tblW w:w="0" w:type="auto"/>
        <w:tblLook w:val="04A0" w:firstRow="1" w:lastRow="0" w:firstColumn="1" w:lastColumn="0" w:noHBand="0" w:noVBand="1"/>
      </w:tblPr>
      <w:tblGrid>
        <w:gridCol w:w="4505"/>
        <w:gridCol w:w="4505"/>
      </w:tblGrid>
      <w:tr w:rsidR="00B75F6D" w:rsidRPr="00B75F6D" w14:paraId="7E518A89" w14:textId="77777777" w:rsidTr="00EE6DF1">
        <w:tc>
          <w:tcPr>
            <w:tcW w:w="4508" w:type="dxa"/>
          </w:tcPr>
          <w:p w14:paraId="613DD5FF" w14:textId="77777777" w:rsidR="00B75F6D" w:rsidRPr="00B75F6D" w:rsidRDefault="00B75F6D" w:rsidP="00EE6DF1">
            <w:pPr>
              <w:rPr>
                <w:rFonts w:ascii="Arial" w:hAnsi="Arial" w:cs="Arial"/>
                <w:sz w:val="24"/>
                <w:szCs w:val="24"/>
              </w:rPr>
            </w:pPr>
          </w:p>
        </w:tc>
        <w:tc>
          <w:tcPr>
            <w:tcW w:w="4508" w:type="dxa"/>
          </w:tcPr>
          <w:p w14:paraId="1C4781F6" w14:textId="77777777" w:rsidR="00B75F6D" w:rsidRPr="00B75F6D" w:rsidRDefault="00B75F6D" w:rsidP="00EE6DF1">
            <w:pPr>
              <w:rPr>
                <w:rFonts w:ascii="Arial" w:hAnsi="Arial" w:cs="Arial"/>
                <w:sz w:val="24"/>
                <w:szCs w:val="24"/>
              </w:rPr>
            </w:pPr>
            <w:r w:rsidRPr="00B75F6D">
              <w:rPr>
                <w:rFonts w:ascii="Arial" w:hAnsi="Arial" w:cs="Arial"/>
                <w:sz w:val="24"/>
                <w:szCs w:val="24"/>
              </w:rPr>
              <w:t>Costs</w:t>
            </w:r>
          </w:p>
        </w:tc>
      </w:tr>
      <w:tr w:rsidR="00B75F6D" w:rsidRPr="00B75F6D" w14:paraId="43E98442" w14:textId="77777777" w:rsidTr="00EE6DF1">
        <w:tc>
          <w:tcPr>
            <w:tcW w:w="4508" w:type="dxa"/>
          </w:tcPr>
          <w:p w14:paraId="193CB79D" w14:textId="77777777" w:rsidR="00B75F6D" w:rsidRPr="00B75F6D" w:rsidRDefault="00B75F6D" w:rsidP="00EE6DF1">
            <w:pPr>
              <w:pStyle w:val="Default"/>
              <w:rPr>
                <w:rFonts w:ascii="Arial" w:hAnsi="Arial" w:cs="Arial"/>
                <w:sz w:val="24"/>
                <w:szCs w:val="24"/>
              </w:rPr>
            </w:pPr>
            <w:r w:rsidRPr="00B75F6D">
              <w:rPr>
                <w:rFonts w:ascii="Arial" w:hAnsi="Arial" w:cs="Arial"/>
                <w:sz w:val="24"/>
                <w:szCs w:val="24"/>
              </w:rPr>
              <w:t xml:space="preserve">Costs of complying with the Welsh language scheme (staff costs should not be included) </w:t>
            </w:r>
          </w:p>
          <w:p w14:paraId="495CAFAB" w14:textId="77777777" w:rsidR="00B75F6D" w:rsidRPr="00B75F6D" w:rsidRDefault="00B75F6D" w:rsidP="00EE6DF1">
            <w:pPr>
              <w:rPr>
                <w:rFonts w:ascii="Arial" w:hAnsi="Arial" w:cs="Arial"/>
                <w:sz w:val="24"/>
                <w:szCs w:val="24"/>
              </w:rPr>
            </w:pPr>
          </w:p>
        </w:tc>
        <w:tc>
          <w:tcPr>
            <w:tcW w:w="4508" w:type="dxa"/>
          </w:tcPr>
          <w:p w14:paraId="03CBFE5A" w14:textId="77777777" w:rsidR="00B75F6D" w:rsidRPr="00B75F6D" w:rsidRDefault="00B75F6D" w:rsidP="00EE6DF1">
            <w:pPr>
              <w:rPr>
                <w:rFonts w:ascii="Arial" w:hAnsi="Arial" w:cs="Arial"/>
                <w:sz w:val="24"/>
                <w:szCs w:val="24"/>
              </w:rPr>
            </w:pPr>
            <w:r w:rsidRPr="00B75F6D">
              <w:rPr>
                <w:rFonts w:ascii="Arial" w:hAnsi="Arial" w:cs="Arial"/>
                <w:sz w:val="24"/>
                <w:szCs w:val="24"/>
              </w:rPr>
              <w:t>£4500</w:t>
            </w:r>
          </w:p>
        </w:tc>
      </w:tr>
    </w:tbl>
    <w:p w14:paraId="7083AF57" w14:textId="77777777" w:rsidR="00B75F6D" w:rsidRPr="00B75F6D" w:rsidRDefault="00B75F6D" w:rsidP="00B75F6D">
      <w:pPr>
        <w:rPr>
          <w:rFonts w:ascii="Arial" w:hAnsi="Arial" w:cs="Arial"/>
        </w:rPr>
      </w:pPr>
    </w:p>
    <w:p w14:paraId="06EA94DF" w14:textId="64CE609D" w:rsidR="00B75F6D" w:rsidRDefault="00B75F6D" w:rsidP="00B75F6D">
      <w:pPr>
        <w:rPr>
          <w:rFonts w:ascii="Arial" w:hAnsi="Arial" w:cs="Arial"/>
        </w:rPr>
      </w:pPr>
      <w:r w:rsidRPr="00B75F6D">
        <w:rPr>
          <w:rFonts w:ascii="Arial" w:hAnsi="Arial" w:cs="Arial"/>
        </w:rPr>
        <w:t>Further details on how the cost has been calculated:</w:t>
      </w:r>
    </w:p>
    <w:p w14:paraId="5C5D46F1" w14:textId="01777893" w:rsidR="00B75F6D" w:rsidRDefault="00B75F6D" w:rsidP="00B75F6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2494"/>
      </w:tblGrid>
      <w:tr w:rsidR="00B75F6D" w:rsidRPr="00B75F6D" w14:paraId="564938A8" w14:textId="77777777" w:rsidTr="00EE6DF1">
        <w:tc>
          <w:tcPr>
            <w:tcW w:w="4649" w:type="dxa"/>
            <w:shd w:val="clear" w:color="auto" w:fill="auto"/>
          </w:tcPr>
          <w:p w14:paraId="09F9DF7F" w14:textId="77777777" w:rsidR="00B75F6D" w:rsidRPr="00B75F6D" w:rsidRDefault="00B75F6D" w:rsidP="00EE6DF1">
            <w:pPr>
              <w:rPr>
                <w:rFonts w:ascii="Arial" w:eastAsia="Calibri" w:hAnsi="Arial" w:cs="Arial"/>
                <w:b/>
              </w:rPr>
            </w:pPr>
            <w:r w:rsidRPr="00B75F6D">
              <w:rPr>
                <w:rFonts w:ascii="Arial" w:eastAsia="Calibri" w:hAnsi="Arial" w:cs="Arial"/>
                <w:b/>
              </w:rPr>
              <w:t xml:space="preserve">Translation </w:t>
            </w:r>
          </w:p>
          <w:p w14:paraId="51FFCE1F" w14:textId="77777777" w:rsidR="00B75F6D" w:rsidRPr="00B75F6D" w:rsidRDefault="00B75F6D" w:rsidP="00EE6DF1">
            <w:pPr>
              <w:numPr>
                <w:ilvl w:val="0"/>
                <w:numId w:val="24"/>
              </w:numPr>
              <w:rPr>
                <w:rFonts w:ascii="Arial" w:eastAsia="Calibri" w:hAnsi="Arial" w:cs="Arial"/>
              </w:rPr>
            </w:pPr>
            <w:r w:rsidRPr="00B75F6D">
              <w:rPr>
                <w:rFonts w:ascii="Arial" w:eastAsia="Calibri" w:hAnsi="Arial" w:cs="Arial"/>
              </w:rPr>
              <w:t>Events held in Wales (translation of documents and simultaneous translation)</w:t>
            </w:r>
          </w:p>
          <w:p w14:paraId="5D9363EF" w14:textId="77777777" w:rsidR="00B75F6D" w:rsidRPr="00B75F6D" w:rsidRDefault="00B75F6D" w:rsidP="00EE6DF1">
            <w:pPr>
              <w:numPr>
                <w:ilvl w:val="0"/>
                <w:numId w:val="24"/>
              </w:numPr>
              <w:rPr>
                <w:rFonts w:ascii="Arial" w:eastAsia="Calibri" w:hAnsi="Arial" w:cs="Arial"/>
              </w:rPr>
            </w:pPr>
            <w:r w:rsidRPr="00B75F6D">
              <w:rPr>
                <w:rFonts w:ascii="Arial" w:eastAsia="Calibri" w:hAnsi="Arial" w:cs="Arial"/>
              </w:rPr>
              <w:t>Publication of Welsh version of revised standards</w:t>
            </w:r>
          </w:p>
          <w:p w14:paraId="7A6DBE82" w14:textId="77777777" w:rsidR="00B75F6D" w:rsidRPr="00B75F6D" w:rsidRDefault="00B75F6D" w:rsidP="00EE6DF1">
            <w:pPr>
              <w:numPr>
                <w:ilvl w:val="0"/>
                <w:numId w:val="24"/>
              </w:numPr>
              <w:rPr>
                <w:rFonts w:ascii="Arial" w:eastAsia="Calibri" w:hAnsi="Arial" w:cs="Arial"/>
              </w:rPr>
            </w:pPr>
            <w:r w:rsidRPr="00B75F6D">
              <w:rPr>
                <w:rFonts w:ascii="Arial" w:eastAsia="Calibri" w:hAnsi="Arial" w:cs="Arial"/>
              </w:rPr>
              <w:t>Welsh advertisement for Council recruitment</w:t>
            </w:r>
          </w:p>
        </w:tc>
        <w:tc>
          <w:tcPr>
            <w:tcW w:w="2494" w:type="dxa"/>
            <w:shd w:val="clear" w:color="auto" w:fill="auto"/>
          </w:tcPr>
          <w:p w14:paraId="5F3276A3" w14:textId="77777777" w:rsidR="00B75F6D" w:rsidRPr="00B75F6D" w:rsidRDefault="00B75F6D" w:rsidP="00EE6DF1">
            <w:pPr>
              <w:rPr>
                <w:rFonts w:ascii="Arial" w:eastAsia="Calibri" w:hAnsi="Arial" w:cs="Arial"/>
              </w:rPr>
            </w:pPr>
          </w:p>
          <w:p w14:paraId="2DFE3D55" w14:textId="77777777" w:rsidR="00B75F6D" w:rsidRPr="00B75F6D" w:rsidRDefault="00B75F6D" w:rsidP="00EE6DF1">
            <w:pPr>
              <w:ind w:left="720"/>
              <w:rPr>
                <w:rFonts w:ascii="Arial" w:eastAsia="Calibri" w:hAnsi="Arial" w:cs="Arial"/>
              </w:rPr>
            </w:pPr>
            <w:r w:rsidRPr="00B75F6D">
              <w:rPr>
                <w:rFonts w:ascii="Arial" w:eastAsia="Calibri" w:hAnsi="Arial" w:cs="Arial"/>
              </w:rPr>
              <w:t>£1,125</w:t>
            </w:r>
          </w:p>
          <w:p w14:paraId="0D83B1DC" w14:textId="77777777" w:rsidR="00B75F6D" w:rsidRPr="00B75F6D" w:rsidRDefault="00B75F6D" w:rsidP="00EE6DF1">
            <w:pPr>
              <w:rPr>
                <w:rFonts w:ascii="Arial" w:eastAsia="Calibri" w:hAnsi="Arial" w:cs="Arial"/>
              </w:rPr>
            </w:pPr>
          </w:p>
          <w:p w14:paraId="104AFF72" w14:textId="77777777" w:rsidR="00B75F6D" w:rsidRPr="00B75F6D" w:rsidRDefault="00B75F6D" w:rsidP="00EE6DF1">
            <w:pPr>
              <w:rPr>
                <w:rFonts w:ascii="Arial" w:eastAsia="Calibri" w:hAnsi="Arial" w:cs="Arial"/>
              </w:rPr>
            </w:pPr>
          </w:p>
          <w:p w14:paraId="28366692" w14:textId="77777777" w:rsidR="00B75F6D" w:rsidRPr="00B75F6D" w:rsidRDefault="00B75F6D" w:rsidP="00EE6DF1">
            <w:pPr>
              <w:ind w:left="720"/>
              <w:rPr>
                <w:rFonts w:ascii="Arial" w:eastAsia="Calibri" w:hAnsi="Arial" w:cs="Arial"/>
              </w:rPr>
            </w:pPr>
            <w:r w:rsidRPr="00B75F6D">
              <w:rPr>
                <w:rFonts w:ascii="Arial" w:eastAsia="Calibri" w:hAnsi="Arial" w:cs="Arial"/>
              </w:rPr>
              <w:t>£2,375</w:t>
            </w:r>
          </w:p>
          <w:p w14:paraId="4A09C4AF" w14:textId="77777777" w:rsidR="00B75F6D" w:rsidRPr="00B75F6D" w:rsidRDefault="00B75F6D" w:rsidP="00EE6DF1">
            <w:pPr>
              <w:rPr>
                <w:rFonts w:ascii="Arial" w:eastAsia="Calibri" w:hAnsi="Arial" w:cs="Arial"/>
              </w:rPr>
            </w:pPr>
          </w:p>
          <w:p w14:paraId="73CB38A6" w14:textId="77777777" w:rsidR="00B75F6D" w:rsidRPr="00B75F6D" w:rsidRDefault="00B75F6D" w:rsidP="00EE6DF1">
            <w:pPr>
              <w:ind w:left="720"/>
              <w:rPr>
                <w:rFonts w:ascii="Arial" w:eastAsia="Calibri" w:hAnsi="Arial" w:cs="Arial"/>
              </w:rPr>
            </w:pPr>
            <w:r w:rsidRPr="00B75F6D">
              <w:rPr>
                <w:rFonts w:ascii="Arial" w:eastAsia="Calibri" w:hAnsi="Arial" w:cs="Arial"/>
              </w:rPr>
              <w:t>£72</w:t>
            </w:r>
          </w:p>
        </w:tc>
      </w:tr>
      <w:tr w:rsidR="00B75F6D" w:rsidRPr="00B75F6D" w14:paraId="2A960812" w14:textId="77777777" w:rsidTr="00EE6DF1">
        <w:tc>
          <w:tcPr>
            <w:tcW w:w="4649" w:type="dxa"/>
            <w:shd w:val="clear" w:color="auto" w:fill="auto"/>
          </w:tcPr>
          <w:p w14:paraId="520F64B7" w14:textId="77777777" w:rsidR="00B75F6D" w:rsidRPr="00B75F6D" w:rsidRDefault="00B75F6D" w:rsidP="00EE6DF1">
            <w:pPr>
              <w:rPr>
                <w:rFonts w:ascii="Arial" w:eastAsia="Calibri" w:hAnsi="Arial" w:cs="Arial"/>
              </w:rPr>
            </w:pPr>
            <w:r w:rsidRPr="00B75F6D">
              <w:rPr>
                <w:rFonts w:ascii="Arial" w:eastAsia="Calibri" w:hAnsi="Arial" w:cs="Arial"/>
                <w:b/>
              </w:rPr>
              <w:t>Publicising/marketing:</w:t>
            </w:r>
            <w:r w:rsidRPr="00B75F6D">
              <w:rPr>
                <w:rFonts w:ascii="Arial" w:eastAsia="Calibri" w:hAnsi="Arial" w:cs="Arial"/>
              </w:rPr>
              <w:t xml:space="preserve"> specifically regarding complying with the Welsh Language Scheme</w:t>
            </w:r>
          </w:p>
          <w:p w14:paraId="33979899" w14:textId="77777777" w:rsidR="00B75F6D" w:rsidRPr="00B75F6D" w:rsidRDefault="00B75F6D" w:rsidP="00EE6DF1">
            <w:pPr>
              <w:numPr>
                <w:ilvl w:val="0"/>
                <w:numId w:val="24"/>
              </w:numPr>
              <w:rPr>
                <w:rFonts w:ascii="Arial" w:eastAsia="Calibri" w:hAnsi="Arial" w:cs="Arial"/>
              </w:rPr>
            </w:pPr>
            <w:r w:rsidRPr="00B75F6D">
              <w:rPr>
                <w:rFonts w:ascii="Arial" w:eastAsia="Calibri" w:hAnsi="Arial" w:cs="Arial"/>
              </w:rPr>
              <w:t>Advertising Council vacancy in Jobs Wales</w:t>
            </w:r>
          </w:p>
        </w:tc>
        <w:tc>
          <w:tcPr>
            <w:tcW w:w="2494" w:type="dxa"/>
            <w:shd w:val="clear" w:color="auto" w:fill="auto"/>
          </w:tcPr>
          <w:p w14:paraId="59C5F06F" w14:textId="77777777" w:rsidR="00B75F6D" w:rsidRPr="00B75F6D" w:rsidRDefault="00B75F6D" w:rsidP="00EE6DF1">
            <w:pPr>
              <w:rPr>
                <w:rFonts w:ascii="Arial" w:eastAsia="Calibri" w:hAnsi="Arial" w:cs="Arial"/>
                <w:b/>
              </w:rPr>
            </w:pPr>
          </w:p>
          <w:p w14:paraId="19A5BDC6" w14:textId="77777777" w:rsidR="00B75F6D" w:rsidRPr="00B75F6D" w:rsidRDefault="00B75F6D" w:rsidP="00EE6DF1">
            <w:pPr>
              <w:rPr>
                <w:rFonts w:ascii="Arial" w:eastAsia="Calibri" w:hAnsi="Arial" w:cs="Arial"/>
              </w:rPr>
            </w:pPr>
          </w:p>
          <w:p w14:paraId="066E1A8B" w14:textId="77777777" w:rsidR="00B75F6D" w:rsidRPr="00B75F6D" w:rsidRDefault="00B75F6D" w:rsidP="00EE6DF1">
            <w:pPr>
              <w:rPr>
                <w:rFonts w:ascii="Arial" w:eastAsia="Calibri" w:hAnsi="Arial" w:cs="Arial"/>
              </w:rPr>
            </w:pPr>
          </w:p>
          <w:p w14:paraId="48FCF028" w14:textId="77777777" w:rsidR="00B75F6D" w:rsidRPr="00B75F6D" w:rsidRDefault="00B75F6D" w:rsidP="00EE6DF1">
            <w:pPr>
              <w:ind w:left="720"/>
              <w:rPr>
                <w:rFonts w:ascii="Arial" w:eastAsia="Calibri" w:hAnsi="Arial" w:cs="Arial"/>
              </w:rPr>
            </w:pPr>
            <w:r w:rsidRPr="00B75F6D">
              <w:rPr>
                <w:rFonts w:ascii="Arial" w:eastAsia="Calibri" w:hAnsi="Arial" w:cs="Arial"/>
              </w:rPr>
              <w:t>£1,000</w:t>
            </w:r>
          </w:p>
        </w:tc>
      </w:tr>
    </w:tbl>
    <w:p w14:paraId="5F595DE4" w14:textId="0273E068" w:rsidR="00B75F6D" w:rsidRDefault="00B75F6D" w:rsidP="00B75F6D">
      <w:pPr>
        <w:rPr>
          <w:rFonts w:ascii="Arial" w:hAnsi="Arial" w:cs="Arial"/>
        </w:rPr>
      </w:pPr>
    </w:p>
    <w:p w14:paraId="142F1CB6" w14:textId="77777777" w:rsidR="00B75F6D" w:rsidRPr="00B75F6D" w:rsidRDefault="00B75F6D" w:rsidP="00B75F6D">
      <w:pPr>
        <w:rPr>
          <w:rFonts w:ascii="Arial" w:hAnsi="Arial" w:cs="Arial"/>
        </w:rPr>
      </w:pPr>
    </w:p>
    <w:p w14:paraId="6E6D3267" w14:textId="58C076B3" w:rsidR="00B75F6D" w:rsidRDefault="00B75F6D" w:rsidP="00B75F6D">
      <w:pPr>
        <w:rPr>
          <w:rFonts w:ascii="Arial" w:hAnsi="Arial" w:cs="Arial"/>
        </w:rPr>
      </w:pPr>
      <w:r w:rsidRPr="00B75F6D">
        <w:rPr>
          <w:rFonts w:ascii="Arial" w:hAnsi="Arial" w:cs="Arial"/>
        </w:rPr>
        <w:t>3. Staffing Costs</w:t>
      </w:r>
    </w:p>
    <w:p w14:paraId="6A969AE6" w14:textId="77777777" w:rsidR="00B75F6D" w:rsidRPr="00B75F6D" w:rsidRDefault="00B75F6D" w:rsidP="00B75F6D">
      <w:pPr>
        <w:rPr>
          <w:rFonts w:ascii="Arial" w:hAnsi="Arial" w:cs="Arial"/>
        </w:rPr>
      </w:pPr>
    </w:p>
    <w:p w14:paraId="6E3393C6" w14:textId="21FEA35C" w:rsidR="00B75F6D" w:rsidRDefault="00B75F6D" w:rsidP="00B75F6D">
      <w:pPr>
        <w:rPr>
          <w:rFonts w:ascii="Arial" w:hAnsi="Arial" w:cs="Arial"/>
        </w:rPr>
      </w:pPr>
      <w:r w:rsidRPr="00B75F6D">
        <w:rPr>
          <w:rFonts w:ascii="Arial" w:hAnsi="Arial" w:cs="Arial"/>
        </w:rPr>
        <w:t>Please note the staffing costs associated with delivering the commitments in your current Welsh Language Scheme, and any additional staffing costs that will be incurred by having to comply with the standards specified in the Regulations being consulted upon</w:t>
      </w:r>
    </w:p>
    <w:p w14:paraId="40CDB7B8" w14:textId="77777777" w:rsidR="00B75F6D" w:rsidRPr="00B75F6D" w:rsidRDefault="00B75F6D" w:rsidP="00B75F6D">
      <w:pPr>
        <w:rPr>
          <w:rFonts w:ascii="Arial" w:hAnsi="Arial" w:cs="Arial"/>
        </w:rPr>
      </w:pPr>
    </w:p>
    <w:tbl>
      <w:tblPr>
        <w:tblStyle w:val="TableGrid"/>
        <w:tblW w:w="0" w:type="auto"/>
        <w:tblLook w:val="04A0" w:firstRow="1" w:lastRow="0" w:firstColumn="1" w:lastColumn="0" w:noHBand="0" w:noVBand="1"/>
      </w:tblPr>
      <w:tblGrid>
        <w:gridCol w:w="9010"/>
      </w:tblGrid>
      <w:tr w:rsidR="00B75F6D" w:rsidRPr="00B75F6D" w14:paraId="13F22A31" w14:textId="77777777" w:rsidTr="00EE6DF1">
        <w:tc>
          <w:tcPr>
            <w:tcW w:w="9016" w:type="dxa"/>
          </w:tcPr>
          <w:p w14:paraId="4BB90498" w14:textId="77777777" w:rsidR="00B75F6D" w:rsidRPr="00B75F6D" w:rsidRDefault="00B75F6D" w:rsidP="00EE6DF1">
            <w:pPr>
              <w:rPr>
                <w:rFonts w:ascii="Arial" w:hAnsi="Arial" w:cs="Arial"/>
                <w:sz w:val="24"/>
                <w:szCs w:val="24"/>
              </w:rPr>
            </w:pPr>
            <w:r w:rsidRPr="00B75F6D">
              <w:rPr>
                <w:rFonts w:ascii="Arial" w:hAnsi="Arial" w:cs="Arial"/>
                <w:sz w:val="24"/>
                <w:szCs w:val="24"/>
              </w:rPr>
              <w:t>Current scheme: £10,000</w:t>
            </w:r>
          </w:p>
        </w:tc>
      </w:tr>
      <w:tr w:rsidR="00B75F6D" w:rsidRPr="00B75F6D" w14:paraId="3334CDD2" w14:textId="77777777" w:rsidTr="00EE6DF1">
        <w:tc>
          <w:tcPr>
            <w:tcW w:w="9016" w:type="dxa"/>
          </w:tcPr>
          <w:p w14:paraId="4C494DA7" w14:textId="77777777" w:rsidR="00B75F6D" w:rsidRPr="00B75F6D" w:rsidRDefault="00B75F6D" w:rsidP="00EE6DF1">
            <w:pPr>
              <w:rPr>
                <w:rFonts w:ascii="Arial" w:hAnsi="Arial" w:cs="Arial"/>
                <w:sz w:val="24"/>
                <w:szCs w:val="24"/>
              </w:rPr>
            </w:pPr>
            <w:r w:rsidRPr="00B75F6D">
              <w:rPr>
                <w:rFonts w:ascii="Arial" w:hAnsi="Arial" w:cs="Arial"/>
                <w:sz w:val="24"/>
                <w:szCs w:val="24"/>
              </w:rPr>
              <w:t>Proposed regulations: £28,000</w:t>
            </w:r>
          </w:p>
        </w:tc>
      </w:tr>
      <w:tr w:rsidR="00B75F6D" w:rsidRPr="00B75F6D" w14:paraId="2DFDC701" w14:textId="77777777" w:rsidTr="00EE6DF1">
        <w:tc>
          <w:tcPr>
            <w:tcW w:w="9016" w:type="dxa"/>
          </w:tcPr>
          <w:p w14:paraId="0BC8B614" w14:textId="77777777" w:rsidR="00B75F6D" w:rsidRPr="00B75F6D" w:rsidRDefault="00B75F6D" w:rsidP="00EE6DF1">
            <w:pPr>
              <w:rPr>
                <w:rFonts w:ascii="Arial" w:hAnsi="Arial" w:cs="Arial"/>
                <w:sz w:val="24"/>
                <w:szCs w:val="24"/>
              </w:rPr>
            </w:pPr>
            <w:r w:rsidRPr="00B75F6D">
              <w:rPr>
                <w:rFonts w:ascii="Arial" w:hAnsi="Arial" w:cs="Arial"/>
                <w:sz w:val="24"/>
                <w:szCs w:val="24"/>
              </w:rPr>
              <w:t>Please see the excel spreadsheet annexed to our submission for full breakdown</w:t>
            </w:r>
          </w:p>
        </w:tc>
      </w:tr>
    </w:tbl>
    <w:p w14:paraId="7BC82B81" w14:textId="77777777" w:rsidR="00B75F6D" w:rsidRPr="00B75F6D" w:rsidRDefault="00B75F6D" w:rsidP="00B75F6D">
      <w:pPr>
        <w:rPr>
          <w:rFonts w:ascii="Arial" w:hAnsi="Arial" w:cs="Arial"/>
        </w:rPr>
      </w:pPr>
    </w:p>
    <w:p w14:paraId="4939F244" w14:textId="2F0DE9A2" w:rsidR="00B75F6D" w:rsidRDefault="00B75F6D" w:rsidP="00B75F6D">
      <w:pPr>
        <w:rPr>
          <w:rFonts w:ascii="Arial" w:hAnsi="Arial" w:cs="Arial"/>
        </w:rPr>
      </w:pPr>
      <w:r w:rsidRPr="00B75F6D">
        <w:rPr>
          <w:rFonts w:ascii="Arial" w:hAnsi="Arial" w:cs="Arial"/>
        </w:rPr>
        <w:t>4. Service delivery standards</w:t>
      </w:r>
    </w:p>
    <w:p w14:paraId="43C8B2E2" w14:textId="77777777" w:rsidR="00B75F6D" w:rsidRPr="00B75F6D" w:rsidRDefault="00B75F6D" w:rsidP="00B75F6D">
      <w:pPr>
        <w:rPr>
          <w:rFonts w:ascii="Arial" w:hAnsi="Arial" w:cs="Arial"/>
        </w:rPr>
      </w:pPr>
    </w:p>
    <w:p w14:paraId="4F100507" w14:textId="77777777" w:rsidR="00B75F6D" w:rsidRPr="00B75F6D" w:rsidRDefault="00B75F6D" w:rsidP="00B75F6D">
      <w:pPr>
        <w:rPr>
          <w:rFonts w:ascii="Arial" w:hAnsi="Arial" w:cs="Arial"/>
        </w:rPr>
      </w:pPr>
      <w:r w:rsidRPr="00B75F6D">
        <w:rPr>
          <w:rFonts w:ascii="Arial" w:hAnsi="Arial" w:cs="Arial"/>
        </w:rPr>
        <w:t>The service delivery standards can be seen at Schedule 1 in the draft regulations.</w:t>
      </w:r>
    </w:p>
    <w:p w14:paraId="349DADB8" w14:textId="51168274" w:rsidR="00B75F6D" w:rsidRDefault="00B75F6D" w:rsidP="00B75F6D">
      <w:pPr>
        <w:rPr>
          <w:rFonts w:ascii="Arial" w:hAnsi="Arial" w:cs="Arial"/>
        </w:rPr>
      </w:pPr>
      <w:r w:rsidRPr="00B75F6D">
        <w:rPr>
          <w:rFonts w:ascii="Arial" w:hAnsi="Arial" w:cs="Arial"/>
        </w:rPr>
        <w:t>Are the duties in the draft service delivery standards likely to have an effect on your resources or how you use those resources? YES</w:t>
      </w:r>
    </w:p>
    <w:p w14:paraId="6797809E" w14:textId="77777777" w:rsidR="00B75F6D" w:rsidRPr="00B75F6D" w:rsidRDefault="00B75F6D" w:rsidP="00B75F6D">
      <w:pPr>
        <w:rPr>
          <w:rFonts w:ascii="Arial" w:hAnsi="Arial" w:cs="Arial"/>
        </w:rPr>
      </w:pPr>
    </w:p>
    <w:tbl>
      <w:tblPr>
        <w:tblStyle w:val="TableGrid"/>
        <w:tblW w:w="0" w:type="auto"/>
        <w:tblLook w:val="04A0" w:firstRow="1" w:lastRow="0" w:firstColumn="1" w:lastColumn="0" w:noHBand="0" w:noVBand="1"/>
      </w:tblPr>
      <w:tblGrid>
        <w:gridCol w:w="4505"/>
        <w:gridCol w:w="4505"/>
      </w:tblGrid>
      <w:tr w:rsidR="00B75F6D" w:rsidRPr="00B75F6D" w14:paraId="28D7F65C" w14:textId="77777777" w:rsidTr="00EE6DF1">
        <w:tc>
          <w:tcPr>
            <w:tcW w:w="4508" w:type="dxa"/>
          </w:tcPr>
          <w:p w14:paraId="201E2CF5" w14:textId="77777777" w:rsidR="00B75F6D" w:rsidRPr="00B75F6D" w:rsidRDefault="00B75F6D" w:rsidP="00EE6DF1">
            <w:pPr>
              <w:rPr>
                <w:rFonts w:ascii="Arial" w:hAnsi="Arial" w:cs="Arial"/>
                <w:sz w:val="24"/>
                <w:szCs w:val="24"/>
              </w:rPr>
            </w:pPr>
          </w:p>
        </w:tc>
        <w:tc>
          <w:tcPr>
            <w:tcW w:w="4508" w:type="dxa"/>
          </w:tcPr>
          <w:p w14:paraId="40AF86ED" w14:textId="77777777" w:rsidR="00B75F6D" w:rsidRPr="00B75F6D" w:rsidRDefault="00B75F6D" w:rsidP="00EE6DF1">
            <w:pPr>
              <w:rPr>
                <w:rFonts w:ascii="Arial" w:hAnsi="Arial" w:cs="Arial"/>
                <w:sz w:val="24"/>
                <w:szCs w:val="24"/>
              </w:rPr>
            </w:pPr>
            <w:r w:rsidRPr="00B75F6D">
              <w:rPr>
                <w:rFonts w:ascii="Arial" w:hAnsi="Arial" w:cs="Arial"/>
                <w:sz w:val="24"/>
                <w:szCs w:val="24"/>
              </w:rPr>
              <w:t>Cost to the nearest £ ‘000</w:t>
            </w:r>
          </w:p>
        </w:tc>
      </w:tr>
      <w:tr w:rsidR="00B75F6D" w:rsidRPr="00B75F6D" w14:paraId="4CAEBCE4" w14:textId="77777777" w:rsidTr="00EE6DF1">
        <w:tc>
          <w:tcPr>
            <w:tcW w:w="4508" w:type="dxa"/>
          </w:tcPr>
          <w:p w14:paraId="0012ED1C" w14:textId="77777777" w:rsidR="00B75F6D" w:rsidRPr="00B75F6D" w:rsidRDefault="00B75F6D" w:rsidP="00EE6DF1">
            <w:pPr>
              <w:rPr>
                <w:rFonts w:ascii="Arial" w:hAnsi="Arial" w:cs="Arial"/>
                <w:sz w:val="24"/>
                <w:szCs w:val="24"/>
              </w:rPr>
            </w:pPr>
            <w:r w:rsidRPr="00B75F6D">
              <w:rPr>
                <w:rFonts w:ascii="Arial" w:hAnsi="Arial" w:cs="Arial"/>
                <w:sz w:val="24"/>
                <w:szCs w:val="24"/>
              </w:rPr>
              <w:t>Complying with the draft service delivery guidelines</w:t>
            </w:r>
          </w:p>
        </w:tc>
        <w:tc>
          <w:tcPr>
            <w:tcW w:w="4508" w:type="dxa"/>
          </w:tcPr>
          <w:p w14:paraId="711EFBCC" w14:textId="77777777" w:rsidR="00B75F6D" w:rsidRPr="00B75F6D" w:rsidRDefault="00B75F6D" w:rsidP="00EE6DF1">
            <w:pPr>
              <w:rPr>
                <w:rFonts w:ascii="Arial" w:hAnsi="Arial" w:cs="Arial"/>
                <w:sz w:val="24"/>
                <w:szCs w:val="24"/>
              </w:rPr>
            </w:pPr>
            <w:r w:rsidRPr="00B75F6D">
              <w:rPr>
                <w:rFonts w:ascii="Arial" w:hAnsi="Arial" w:cs="Arial"/>
                <w:sz w:val="24"/>
                <w:szCs w:val="24"/>
              </w:rPr>
              <w:t>£1,164,000</w:t>
            </w:r>
          </w:p>
        </w:tc>
      </w:tr>
      <w:tr w:rsidR="00B75F6D" w:rsidRPr="00B75F6D" w14:paraId="71932214" w14:textId="77777777" w:rsidTr="00EE6DF1">
        <w:tc>
          <w:tcPr>
            <w:tcW w:w="4508" w:type="dxa"/>
          </w:tcPr>
          <w:p w14:paraId="66916126" w14:textId="77777777" w:rsidR="00B75F6D" w:rsidRPr="00B75F6D" w:rsidRDefault="00B75F6D" w:rsidP="00EE6DF1">
            <w:pPr>
              <w:rPr>
                <w:rFonts w:ascii="Arial" w:hAnsi="Arial" w:cs="Arial"/>
                <w:sz w:val="24"/>
                <w:szCs w:val="24"/>
              </w:rPr>
            </w:pPr>
          </w:p>
        </w:tc>
        <w:tc>
          <w:tcPr>
            <w:tcW w:w="4508" w:type="dxa"/>
          </w:tcPr>
          <w:p w14:paraId="7248E557" w14:textId="77777777" w:rsidR="00B75F6D" w:rsidRPr="00B75F6D" w:rsidRDefault="00B75F6D" w:rsidP="00EE6DF1">
            <w:pPr>
              <w:rPr>
                <w:rFonts w:ascii="Arial" w:hAnsi="Arial" w:cs="Arial"/>
                <w:sz w:val="24"/>
                <w:szCs w:val="24"/>
              </w:rPr>
            </w:pPr>
          </w:p>
        </w:tc>
      </w:tr>
    </w:tbl>
    <w:p w14:paraId="348F53A0" w14:textId="05836970" w:rsidR="00B75F6D" w:rsidRDefault="00B75F6D" w:rsidP="00B75F6D">
      <w:pPr>
        <w:rPr>
          <w:rFonts w:ascii="Arial" w:hAnsi="Arial" w:cs="Arial"/>
        </w:rPr>
      </w:pPr>
    </w:p>
    <w:p w14:paraId="1D709F4B" w14:textId="049BBD2B" w:rsidR="00B75F6D" w:rsidRDefault="00B75F6D" w:rsidP="00B75F6D">
      <w:pPr>
        <w:rPr>
          <w:rFonts w:ascii="Arial" w:hAnsi="Arial" w:cs="Arial"/>
        </w:rPr>
      </w:pPr>
    </w:p>
    <w:p w14:paraId="65B4C195" w14:textId="62735C59" w:rsidR="00B75F6D" w:rsidRDefault="00B75F6D" w:rsidP="00B75F6D">
      <w:pPr>
        <w:rPr>
          <w:rFonts w:ascii="Arial" w:hAnsi="Arial" w:cs="Arial"/>
        </w:rPr>
      </w:pPr>
    </w:p>
    <w:p w14:paraId="7EAABFC2" w14:textId="778B7839" w:rsidR="00B75F6D" w:rsidRDefault="00B75F6D" w:rsidP="00B75F6D">
      <w:pPr>
        <w:rPr>
          <w:rFonts w:ascii="Arial" w:hAnsi="Arial" w:cs="Arial"/>
        </w:rPr>
      </w:pPr>
    </w:p>
    <w:p w14:paraId="7987EC6D" w14:textId="77777777" w:rsidR="00B75F6D" w:rsidRPr="00B75F6D" w:rsidRDefault="00B75F6D" w:rsidP="00B75F6D">
      <w:pPr>
        <w:rPr>
          <w:rFonts w:ascii="Arial" w:hAnsi="Arial" w:cs="Arial"/>
        </w:rPr>
      </w:pPr>
      <w:r w:rsidRPr="00B75F6D">
        <w:rPr>
          <w:rFonts w:ascii="Arial" w:hAnsi="Arial" w:cs="Arial"/>
        </w:rPr>
        <w:lastRenderedPageBreak/>
        <w:t>Further details (for examples, are there specific delivery standards which are likely to generate an additional cost to your organisation, how have you estimated the additional cost and in which year(s) do you expect the cost will be incurred?)</w:t>
      </w:r>
    </w:p>
    <w:tbl>
      <w:tblPr>
        <w:tblStyle w:val="TableGrid"/>
        <w:tblW w:w="0" w:type="auto"/>
        <w:tblLook w:val="04A0" w:firstRow="1" w:lastRow="0" w:firstColumn="1" w:lastColumn="0" w:noHBand="0" w:noVBand="1"/>
      </w:tblPr>
      <w:tblGrid>
        <w:gridCol w:w="9010"/>
      </w:tblGrid>
      <w:tr w:rsidR="00B75F6D" w:rsidRPr="00B75F6D" w14:paraId="5FA65329" w14:textId="77777777" w:rsidTr="00EE6DF1">
        <w:tc>
          <w:tcPr>
            <w:tcW w:w="9016" w:type="dxa"/>
          </w:tcPr>
          <w:p w14:paraId="6E86007D" w14:textId="77777777" w:rsidR="00B75F6D" w:rsidRPr="00B75F6D" w:rsidRDefault="00B75F6D" w:rsidP="00EE6DF1">
            <w:pPr>
              <w:rPr>
                <w:rFonts w:ascii="Arial" w:hAnsi="Arial" w:cs="Arial"/>
                <w:sz w:val="24"/>
                <w:szCs w:val="24"/>
              </w:rPr>
            </w:pPr>
            <w:r w:rsidRPr="00B75F6D">
              <w:rPr>
                <w:rFonts w:ascii="Arial" w:hAnsi="Arial" w:cs="Arial"/>
                <w:sz w:val="24"/>
                <w:szCs w:val="24"/>
              </w:rPr>
              <w:t>Please see excel spreadsheet annexed to our submission for full breakdown</w:t>
            </w:r>
          </w:p>
          <w:p w14:paraId="25CDB505" w14:textId="77777777" w:rsidR="00B75F6D" w:rsidRPr="00B75F6D" w:rsidRDefault="00B75F6D" w:rsidP="00EE6DF1">
            <w:pPr>
              <w:rPr>
                <w:rFonts w:ascii="Arial" w:hAnsi="Arial" w:cs="Arial"/>
                <w:sz w:val="24"/>
                <w:szCs w:val="24"/>
              </w:rPr>
            </w:pPr>
          </w:p>
        </w:tc>
      </w:tr>
    </w:tbl>
    <w:p w14:paraId="0AD13DA4" w14:textId="77777777" w:rsidR="00B75F6D" w:rsidRPr="00B75F6D" w:rsidRDefault="00B75F6D" w:rsidP="00B75F6D">
      <w:pPr>
        <w:rPr>
          <w:rFonts w:ascii="Arial" w:hAnsi="Arial" w:cs="Arial"/>
        </w:rPr>
      </w:pPr>
    </w:p>
    <w:p w14:paraId="183665B7" w14:textId="006458B9" w:rsidR="00B75F6D" w:rsidRPr="00B75F6D" w:rsidRDefault="00B75F6D" w:rsidP="00B75F6D">
      <w:pPr>
        <w:rPr>
          <w:rFonts w:ascii="Arial" w:hAnsi="Arial" w:cs="Arial"/>
          <w:b/>
          <w:bCs/>
        </w:rPr>
      </w:pPr>
      <w:r w:rsidRPr="00B75F6D">
        <w:rPr>
          <w:rFonts w:ascii="Arial" w:hAnsi="Arial" w:cs="Arial"/>
          <w:b/>
          <w:bCs/>
        </w:rPr>
        <w:t>5. Policy making standards</w:t>
      </w:r>
    </w:p>
    <w:p w14:paraId="24AC68A8" w14:textId="77777777" w:rsidR="00B75F6D" w:rsidRPr="00B75F6D" w:rsidRDefault="00B75F6D" w:rsidP="00B75F6D">
      <w:pPr>
        <w:rPr>
          <w:rFonts w:ascii="Arial" w:hAnsi="Arial" w:cs="Arial"/>
        </w:rPr>
      </w:pPr>
    </w:p>
    <w:p w14:paraId="79E8EC9A" w14:textId="77777777" w:rsidR="00B75F6D" w:rsidRPr="00B75F6D" w:rsidRDefault="00B75F6D" w:rsidP="00B75F6D">
      <w:pPr>
        <w:rPr>
          <w:rFonts w:ascii="Arial" w:hAnsi="Arial" w:cs="Arial"/>
        </w:rPr>
      </w:pPr>
      <w:r w:rsidRPr="00B75F6D">
        <w:rPr>
          <w:rFonts w:ascii="Arial" w:hAnsi="Arial" w:cs="Arial"/>
        </w:rPr>
        <w:t>The policy making standards can be seen at Schedule 2 in the draft regulations.</w:t>
      </w:r>
    </w:p>
    <w:p w14:paraId="77C9C8F4" w14:textId="77777777" w:rsidR="00B75F6D" w:rsidRPr="00B75F6D" w:rsidRDefault="00B75F6D" w:rsidP="00B75F6D">
      <w:pPr>
        <w:rPr>
          <w:rFonts w:ascii="Arial" w:hAnsi="Arial" w:cs="Arial"/>
        </w:rPr>
      </w:pPr>
      <w:r w:rsidRPr="00B75F6D">
        <w:rPr>
          <w:rFonts w:ascii="Arial" w:hAnsi="Arial" w:cs="Arial"/>
        </w:rPr>
        <w:t>Are the duties in the draft policy making standards likely to have an effect on your resources or how you use those resources? YES/NO</w:t>
      </w:r>
    </w:p>
    <w:tbl>
      <w:tblPr>
        <w:tblStyle w:val="TableGrid"/>
        <w:tblW w:w="0" w:type="auto"/>
        <w:tblLook w:val="04A0" w:firstRow="1" w:lastRow="0" w:firstColumn="1" w:lastColumn="0" w:noHBand="0" w:noVBand="1"/>
      </w:tblPr>
      <w:tblGrid>
        <w:gridCol w:w="4505"/>
        <w:gridCol w:w="4505"/>
      </w:tblGrid>
      <w:tr w:rsidR="00B75F6D" w:rsidRPr="00B75F6D" w14:paraId="60B932A3" w14:textId="77777777" w:rsidTr="00EE6DF1">
        <w:tc>
          <w:tcPr>
            <w:tcW w:w="4508" w:type="dxa"/>
          </w:tcPr>
          <w:p w14:paraId="132F1FF8" w14:textId="77777777" w:rsidR="00B75F6D" w:rsidRPr="00B75F6D" w:rsidRDefault="00B75F6D" w:rsidP="00EE6DF1">
            <w:pPr>
              <w:rPr>
                <w:rFonts w:ascii="Arial" w:hAnsi="Arial" w:cs="Arial"/>
                <w:sz w:val="24"/>
                <w:szCs w:val="24"/>
              </w:rPr>
            </w:pPr>
          </w:p>
        </w:tc>
        <w:tc>
          <w:tcPr>
            <w:tcW w:w="4508" w:type="dxa"/>
          </w:tcPr>
          <w:p w14:paraId="11EA3328" w14:textId="77777777" w:rsidR="00B75F6D" w:rsidRPr="00B75F6D" w:rsidRDefault="00B75F6D" w:rsidP="00EE6DF1">
            <w:pPr>
              <w:rPr>
                <w:rFonts w:ascii="Arial" w:hAnsi="Arial" w:cs="Arial"/>
                <w:sz w:val="24"/>
                <w:szCs w:val="24"/>
              </w:rPr>
            </w:pPr>
            <w:r w:rsidRPr="00B75F6D">
              <w:rPr>
                <w:rFonts w:ascii="Arial" w:hAnsi="Arial" w:cs="Arial"/>
                <w:sz w:val="24"/>
                <w:szCs w:val="24"/>
              </w:rPr>
              <w:t>Cost to the nearest £ ‘000</w:t>
            </w:r>
          </w:p>
        </w:tc>
      </w:tr>
      <w:tr w:rsidR="00B75F6D" w:rsidRPr="00B75F6D" w14:paraId="6AA44767" w14:textId="77777777" w:rsidTr="00EE6DF1">
        <w:tc>
          <w:tcPr>
            <w:tcW w:w="4508" w:type="dxa"/>
          </w:tcPr>
          <w:p w14:paraId="3BD87E64" w14:textId="77777777" w:rsidR="00B75F6D" w:rsidRPr="00B75F6D" w:rsidRDefault="00B75F6D" w:rsidP="00EE6DF1">
            <w:pPr>
              <w:rPr>
                <w:rFonts w:ascii="Arial" w:hAnsi="Arial" w:cs="Arial"/>
                <w:sz w:val="24"/>
                <w:szCs w:val="24"/>
              </w:rPr>
            </w:pPr>
            <w:r w:rsidRPr="00B75F6D">
              <w:rPr>
                <w:rFonts w:ascii="Arial" w:hAnsi="Arial" w:cs="Arial"/>
                <w:sz w:val="24"/>
                <w:szCs w:val="24"/>
              </w:rPr>
              <w:t>Complying with the draft service delivery guidelines</w:t>
            </w:r>
          </w:p>
        </w:tc>
        <w:tc>
          <w:tcPr>
            <w:tcW w:w="4508" w:type="dxa"/>
          </w:tcPr>
          <w:p w14:paraId="7B75A0BC" w14:textId="77777777" w:rsidR="00B75F6D" w:rsidRPr="00B75F6D" w:rsidRDefault="00B75F6D" w:rsidP="00EE6DF1">
            <w:pPr>
              <w:rPr>
                <w:rFonts w:ascii="Arial" w:hAnsi="Arial" w:cs="Arial"/>
                <w:sz w:val="24"/>
                <w:szCs w:val="24"/>
              </w:rPr>
            </w:pPr>
            <w:r w:rsidRPr="00B75F6D">
              <w:rPr>
                <w:rFonts w:ascii="Arial" w:hAnsi="Arial" w:cs="Arial"/>
                <w:sz w:val="24"/>
                <w:szCs w:val="24"/>
              </w:rPr>
              <w:t>/</w:t>
            </w:r>
          </w:p>
        </w:tc>
      </w:tr>
    </w:tbl>
    <w:p w14:paraId="3B54250B" w14:textId="77777777" w:rsidR="00B75F6D" w:rsidRPr="00B75F6D" w:rsidRDefault="00B75F6D" w:rsidP="00B75F6D">
      <w:pPr>
        <w:rPr>
          <w:rFonts w:ascii="Arial" w:hAnsi="Arial" w:cs="Arial"/>
        </w:rPr>
      </w:pPr>
    </w:p>
    <w:p w14:paraId="261DDCAE" w14:textId="77777777" w:rsidR="00B75F6D" w:rsidRPr="00B75F6D" w:rsidRDefault="00B75F6D" w:rsidP="00B75F6D">
      <w:pPr>
        <w:rPr>
          <w:rFonts w:ascii="Arial" w:hAnsi="Arial" w:cs="Arial"/>
        </w:rPr>
      </w:pPr>
      <w:r w:rsidRPr="00B75F6D">
        <w:rPr>
          <w:rFonts w:ascii="Arial" w:hAnsi="Arial" w:cs="Arial"/>
        </w:rPr>
        <w:t>Further details</w:t>
      </w:r>
    </w:p>
    <w:tbl>
      <w:tblPr>
        <w:tblStyle w:val="TableGrid"/>
        <w:tblW w:w="0" w:type="auto"/>
        <w:tblLook w:val="04A0" w:firstRow="1" w:lastRow="0" w:firstColumn="1" w:lastColumn="0" w:noHBand="0" w:noVBand="1"/>
      </w:tblPr>
      <w:tblGrid>
        <w:gridCol w:w="9010"/>
      </w:tblGrid>
      <w:tr w:rsidR="00B75F6D" w:rsidRPr="00B75F6D" w14:paraId="093E44A6" w14:textId="77777777" w:rsidTr="00EE6DF1">
        <w:tc>
          <w:tcPr>
            <w:tcW w:w="9016" w:type="dxa"/>
          </w:tcPr>
          <w:p w14:paraId="62A7D633"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Please see excel spreadsheet annexed to our submission for full breakdown. </w:t>
            </w:r>
          </w:p>
          <w:p w14:paraId="5BD15E4F" w14:textId="77777777" w:rsidR="00B75F6D" w:rsidRPr="00B75F6D" w:rsidRDefault="00B75F6D" w:rsidP="00EE6DF1">
            <w:pPr>
              <w:rPr>
                <w:rFonts w:ascii="Arial" w:hAnsi="Arial" w:cs="Arial"/>
                <w:sz w:val="24"/>
                <w:szCs w:val="24"/>
              </w:rPr>
            </w:pPr>
          </w:p>
          <w:p w14:paraId="0A1BD93D"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We estimate that these standards will require additional staff resources the overlap between different tasks and the staff roles involved meant that we were not able to estimate what fraction of additional staff time they would require. Where a standard had clear staff resource implications, we have included that cost as a separate item. </w:t>
            </w:r>
          </w:p>
          <w:p w14:paraId="6969B926" w14:textId="77777777" w:rsidR="00B75F6D" w:rsidRPr="00B75F6D" w:rsidRDefault="00B75F6D" w:rsidP="00EE6DF1">
            <w:pPr>
              <w:rPr>
                <w:rFonts w:ascii="Arial" w:hAnsi="Arial" w:cs="Arial"/>
                <w:sz w:val="24"/>
                <w:szCs w:val="24"/>
              </w:rPr>
            </w:pPr>
          </w:p>
          <w:p w14:paraId="17F0C54B"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 Instead, we have estimated additional staff time for most staff costs as single item in our spreadsheet. </w:t>
            </w:r>
          </w:p>
          <w:p w14:paraId="0ACD8399" w14:textId="77777777" w:rsidR="00B75F6D" w:rsidRPr="00B75F6D" w:rsidRDefault="00B75F6D" w:rsidP="00EE6DF1">
            <w:pPr>
              <w:rPr>
                <w:rFonts w:ascii="Arial" w:hAnsi="Arial" w:cs="Arial"/>
                <w:sz w:val="24"/>
                <w:szCs w:val="24"/>
              </w:rPr>
            </w:pPr>
          </w:p>
        </w:tc>
      </w:tr>
    </w:tbl>
    <w:p w14:paraId="03782149" w14:textId="0537B866" w:rsidR="00B75F6D" w:rsidRDefault="00B75F6D" w:rsidP="00B75F6D">
      <w:pPr>
        <w:pStyle w:val="Default"/>
        <w:rPr>
          <w:rFonts w:ascii="Arial" w:hAnsi="Arial" w:cs="Arial"/>
        </w:rPr>
      </w:pPr>
    </w:p>
    <w:p w14:paraId="2DF3B4C9" w14:textId="77777777" w:rsidR="00B75F6D" w:rsidRPr="00B75F6D" w:rsidRDefault="00B75F6D" w:rsidP="00B75F6D">
      <w:pPr>
        <w:autoSpaceDE w:val="0"/>
        <w:autoSpaceDN w:val="0"/>
        <w:adjustRightInd w:val="0"/>
        <w:rPr>
          <w:rFonts w:ascii="Arial" w:hAnsi="Arial" w:cs="Arial"/>
          <w:color w:val="000000"/>
          <w:lang w:val="en-GB"/>
        </w:rPr>
      </w:pPr>
    </w:p>
    <w:p w14:paraId="796B5044" w14:textId="77777777" w:rsidR="00B75F6D" w:rsidRPr="00B75F6D" w:rsidRDefault="00B75F6D" w:rsidP="00B75F6D">
      <w:pPr>
        <w:autoSpaceDE w:val="0"/>
        <w:autoSpaceDN w:val="0"/>
        <w:adjustRightInd w:val="0"/>
        <w:rPr>
          <w:rFonts w:ascii="Arial" w:hAnsi="Arial" w:cs="Arial"/>
          <w:color w:val="000000"/>
          <w:sz w:val="23"/>
          <w:szCs w:val="23"/>
          <w:lang w:val="en-GB"/>
        </w:rPr>
      </w:pPr>
      <w:r w:rsidRPr="00B75F6D">
        <w:rPr>
          <w:rFonts w:ascii="Arial" w:hAnsi="Arial" w:cs="Arial"/>
          <w:b/>
          <w:bCs/>
          <w:color w:val="000000"/>
          <w:sz w:val="23"/>
          <w:szCs w:val="23"/>
          <w:lang w:val="en-GB"/>
        </w:rPr>
        <w:t xml:space="preserve">6. Operational standards </w:t>
      </w:r>
    </w:p>
    <w:p w14:paraId="5966B425" w14:textId="77777777" w:rsidR="00B75F6D" w:rsidRDefault="00B75F6D" w:rsidP="00B75F6D">
      <w:pPr>
        <w:autoSpaceDE w:val="0"/>
        <w:autoSpaceDN w:val="0"/>
        <w:adjustRightInd w:val="0"/>
        <w:rPr>
          <w:rFonts w:ascii="Arial" w:hAnsi="Arial" w:cs="Arial"/>
          <w:color w:val="000000"/>
          <w:sz w:val="23"/>
          <w:szCs w:val="23"/>
          <w:lang w:val="en-GB"/>
        </w:rPr>
      </w:pPr>
      <w:r w:rsidRPr="00B75F6D">
        <w:rPr>
          <w:rFonts w:ascii="Arial" w:hAnsi="Arial" w:cs="Arial"/>
          <w:color w:val="000000"/>
          <w:sz w:val="23"/>
          <w:szCs w:val="23"/>
          <w:lang w:val="en-GB"/>
        </w:rPr>
        <w:t>The operational standards can be seen at Schedule 3 in the draft regulations.</w:t>
      </w:r>
    </w:p>
    <w:p w14:paraId="24F34B53" w14:textId="268BB9E1" w:rsidR="00B75F6D" w:rsidRPr="00B75F6D" w:rsidRDefault="00B75F6D" w:rsidP="00B75F6D">
      <w:pPr>
        <w:autoSpaceDE w:val="0"/>
        <w:autoSpaceDN w:val="0"/>
        <w:adjustRightInd w:val="0"/>
        <w:rPr>
          <w:rFonts w:ascii="Arial" w:hAnsi="Arial" w:cs="Arial"/>
          <w:color w:val="000000"/>
          <w:sz w:val="23"/>
          <w:szCs w:val="23"/>
          <w:lang w:val="en-GB"/>
        </w:rPr>
      </w:pPr>
      <w:r w:rsidRPr="00B75F6D">
        <w:rPr>
          <w:rFonts w:ascii="Arial" w:hAnsi="Arial" w:cs="Arial"/>
          <w:color w:val="000000"/>
          <w:sz w:val="23"/>
          <w:szCs w:val="23"/>
          <w:lang w:val="en-GB"/>
        </w:rPr>
        <w:t xml:space="preserve"> </w:t>
      </w:r>
    </w:p>
    <w:p w14:paraId="45A9C7DE" w14:textId="5419CD40" w:rsidR="00B75F6D" w:rsidRDefault="00B75F6D" w:rsidP="00B75F6D">
      <w:pPr>
        <w:pStyle w:val="Default"/>
        <w:rPr>
          <w:rFonts w:ascii="Arial" w:hAnsi="Arial" w:cs="Arial"/>
          <w:b/>
          <w:bCs/>
          <w:sz w:val="23"/>
          <w:szCs w:val="23"/>
          <w:lang w:val="en-GB"/>
        </w:rPr>
      </w:pPr>
      <w:r w:rsidRPr="00B75F6D">
        <w:rPr>
          <w:rFonts w:ascii="Arial" w:hAnsi="Arial" w:cs="Arial"/>
          <w:b/>
          <w:bCs/>
          <w:sz w:val="23"/>
          <w:szCs w:val="23"/>
          <w:lang w:val="en-GB"/>
        </w:rPr>
        <w:t xml:space="preserve">Are the duties in the draft operational standards likely to </w:t>
      </w:r>
      <w:proofErr w:type="gramStart"/>
      <w:r w:rsidRPr="00B75F6D">
        <w:rPr>
          <w:rFonts w:ascii="Arial" w:hAnsi="Arial" w:cs="Arial"/>
          <w:b/>
          <w:bCs/>
          <w:sz w:val="23"/>
          <w:szCs w:val="23"/>
          <w:lang w:val="en-GB"/>
        </w:rPr>
        <w:t>have an effect on</w:t>
      </w:r>
      <w:proofErr w:type="gramEnd"/>
      <w:r w:rsidRPr="00B75F6D">
        <w:rPr>
          <w:rFonts w:ascii="Arial" w:hAnsi="Arial" w:cs="Arial"/>
          <w:b/>
          <w:bCs/>
          <w:sz w:val="23"/>
          <w:szCs w:val="23"/>
          <w:lang w:val="en-GB"/>
        </w:rPr>
        <w:t xml:space="preserve"> your resources or how you use those resources?</w:t>
      </w:r>
    </w:p>
    <w:p w14:paraId="5710EC22" w14:textId="268A8331" w:rsidR="00B75F6D" w:rsidRDefault="00B75F6D" w:rsidP="00B75F6D">
      <w:pPr>
        <w:pStyle w:val="Default"/>
        <w:rPr>
          <w:rFonts w:ascii="Arial" w:hAnsi="Arial" w:cs="Arial"/>
          <w:b/>
          <w:bCs/>
          <w:sz w:val="23"/>
          <w:szCs w:val="23"/>
          <w:lang w:val="en-GB"/>
        </w:rPr>
      </w:pPr>
      <w:r>
        <w:rPr>
          <w:rFonts w:ascii="Arial" w:hAnsi="Arial" w:cs="Arial"/>
          <w:b/>
          <w:bCs/>
          <w:sz w:val="23"/>
          <w:szCs w:val="23"/>
          <w:lang w:val="en-GB"/>
        </w:rPr>
        <w:t>Yes</w:t>
      </w:r>
    </w:p>
    <w:p w14:paraId="2AD7C4BF" w14:textId="32A393FA" w:rsidR="00B75F6D" w:rsidRDefault="00B75F6D" w:rsidP="00B75F6D">
      <w:pPr>
        <w:pStyle w:val="Default"/>
        <w:rPr>
          <w:rFonts w:ascii="Arial" w:hAnsi="Arial" w:cs="Arial"/>
          <w:b/>
          <w:bCs/>
          <w:sz w:val="23"/>
          <w:szCs w:val="23"/>
          <w:lang w:val="en-GB"/>
        </w:rPr>
      </w:pPr>
    </w:p>
    <w:p w14:paraId="54E66A58" w14:textId="2C15B55E" w:rsidR="00B75F6D" w:rsidRPr="00B75F6D" w:rsidRDefault="00B75F6D" w:rsidP="00B75F6D">
      <w:pPr>
        <w:pStyle w:val="Default"/>
        <w:rPr>
          <w:rFonts w:ascii="Arial" w:hAnsi="Arial" w:cs="Arial"/>
          <w:sz w:val="23"/>
          <w:szCs w:val="23"/>
          <w:lang w:val="en-GB"/>
        </w:rPr>
      </w:pPr>
      <w:r w:rsidRPr="00B75F6D">
        <w:rPr>
          <w:rFonts w:ascii="Arial" w:hAnsi="Arial" w:cs="Arial"/>
          <w:sz w:val="23"/>
          <w:szCs w:val="23"/>
          <w:lang w:val="en-GB"/>
        </w:rPr>
        <w:t>Further details</w:t>
      </w:r>
    </w:p>
    <w:tbl>
      <w:tblPr>
        <w:tblStyle w:val="TableGrid"/>
        <w:tblW w:w="0" w:type="auto"/>
        <w:tblLook w:val="04A0" w:firstRow="1" w:lastRow="0" w:firstColumn="1" w:lastColumn="0" w:noHBand="0" w:noVBand="1"/>
      </w:tblPr>
      <w:tblGrid>
        <w:gridCol w:w="9010"/>
      </w:tblGrid>
      <w:tr w:rsidR="00B75F6D" w14:paraId="5FDC322F" w14:textId="77777777" w:rsidTr="00B75F6D">
        <w:tc>
          <w:tcPr>
            <w:tcW w:w="9010" w:type="dxa"/>
          </w:tcPr>
          <w:p w14:paraId="1D7E1AD4" w14:textId="77777777" w:rsidR="00B75F6D" w:rsidRPr="00B75F6D" w:rsidRDefault="00B75F6D" w:rsidP="00B75F6D">
            <w:pPr>
              <w:rPr>
                <w:rFonts w:ascii="Arial" w:hAnsi="Arial" w:cs="Arial"/>
                <w:sz w:val="24"/>
                <w:szCs w:val="24"/>
              </w:rPr>
            </w:pPr>
            <w:r w:rsidRPr="00B75F6D">
              <w:rPr>
                <w:rFonts w:ascii="Arial" w:hAnsi="Arial" w:cs="Arial"/>
                <w:sz w:val="24"/>
                <w:szCs w:val="24"/>
              </w:rPr>
              <w:t xml:space="preserve">Please see excel spreadsheet annexed to our submission for full breakdown. </w:t>
            </w:r>
          </w:p>
          <w:p w14:paraId="09D8041F" w14:textId="77777777" w:rsidR="00B75F6D" w:rsidRPr="00B75F6D" w:rsidRDefault="00B75F6D" w:rsidP="00B75F6D">
            <w:pPr>
              <w:rPr>
                <w:rFonts w:ascii="Arial" w:hAnsi="Arial" w:cs="Arial"/>
                <w:sz w:val="24"/>
                <w:szCs w:val="24"/>
              </w:rPr>
            </w:pPr>
          </w:p>
          <w:p w14:paraId="3F22C937" w14:textId="77777777" w:rsidR="00B75F6D" w:rsidRPr="00B75F6D" w:rsidRDefault="00B75F6D" w:rsidP="00B75F6D">
            <w:pPr>
              <w:rPr>
                <w:rFonts w:ascii="Arial" w:hAnsi="Arial" w:cs="Arial"/>
                <w:sz w:val="24"/>
                <w:szCs w:val="24"/>
              </w:rPr>
            </w:pPr>
            <w:r w:rsidRPr="00B75F6D">
              <w:rPr>
                <w:rFonts w:ascii="Arial" w:hAnsi="Arial" w:cs="Arial"/>
                <w:sz w:val="24"/>
                <w:szCs w:val="24"/>
              </w:rPr>
              <w:t xml:space="preserve">We estimate that these standards will require additional staff resources the overlap between different tasks and the staff roles involved meant that we were not able to estimate what fraction of additional staff time they would require. Where a standard had clear staff resource implications, we have included that cost as a separate item. </w:t>
            </w:r>
          </w:p>
          <w:p w14:paraId="348E2669" w14:textId="77777777" w:rsidR="00B75F6D" w:rsidRPr="00B75F6D" w:rsidRDefault="00B75F6D" w:rsidP="00B75F6D">
            <w:pPr>
              <w:rPr>
                <w:rFonts w:ascii="Arial" w:hAnsi="Arial" w:cs="Arial"/>
                <w:sz w:val="24"/>
                <w:szCs w:val="24"/>
              </w:rPr>
            </w:pPr>
          </w:p>
          <w:p w14:paraId="4C646568" w14:textId="77777777" w:rsidR="00B75F6D" w:rsidRPr="00B75F6D" w:rsidRDefault="00B75F6D" w:rsidP="00B75F6D">
            <w:pPr>
              <w:rPr>
                <w:rFonts w:ascii="Arial" w:hAnsi="Arial" w:cs="Arial"/>
                <w:sz w:val="24"/>
                <w:szCs w:val="24"/>
              </w:rPr>
            </w:pPr>
            <w:r w:rsidRPr="00B75F6D">
              <w:rPr>
                <w:rFonts w:ascii="Arial" w:hAnsi="Arial" w:cs="Arial"/>
                <w:sz w:val="24"/>
                <w:szCs w:val="24"/>
              </w:rPr>
              <w:t xml:space="preserve"> Instead, we have estimated additional staff time for most staff costs as single item in our spreadsheet. </w:t>
            </w:r>
          </w:p>
          <w:p w14:paraId="56F3BE66" w14:textId="77777777" w:rsidR="00B75F6D" w:rsidRDefault="00B75F6D" w:rsidP="00B75F6D">
            <w:pPr>
              <w:pStyle w:val="Default"/>
              <w:rPr>
                <w:rFonts w:ascii="Arial" w:hAnsi="Arial" w:cs="Arial"/>
              </w:rPr>
            </w:pPr>
          </w:p>
        </w:tc>
      </w:tr>
    </w:tbl>
    <w:p w14:paraId="15AB4BA1" w14:textId="77777777" w:rsidR="00B75F6D" w:rsidRDefault="00B75F6D" w:rsidP="00B75F6D">
      <w:pPr>
        <w:pStyle w:val="Default"/>
        <w:rPr>
          <w:rFonts w:ascii="Arial" w:hAnsi="Arial" w:cs="Arial"/>
        </w:rPr>
      </w:pPr>
    </w:p>
    <w:p w14:paraId="094F5C5F" w14:textId="44976BB9" w:rsidR="00B75F6D" w:rsidRDefault="00B75F6D" w:rsidP="00B75F6D">
      <w:pPr>
        <w:pStyle w:val="Default"/>
        <w:rPr>
          <w:rFonts w:ascii="Arial" w:hAnsi="Arial" w:cs="Arial"/>
        </w:rPr>
      </w:pPr>
    </w:p>
    <w:p w14:paraId="000C6F6E" w14:textId="77777777" w:rsidR="00B75F6D" w:rsidRPr="00B75F6D" w:rsidRDefault="00B75F6D" w:rsidP="00B75F6D">
      <w:pPr>
        <w:pStyle w:val="Default"/>
        <w:rPr>
          <w:rFonts w:ascii="Arial" w:hAnsi="Arial" w:cs="Arial"/>
        </w:rPr>
      </w:pPr>
    </w:p>
    <w:p w14:paraId="32A1ADF6" w14:textId="77777777" w:rsidR="00B75F6D" w:rsidRPr="00B75F6D" w:rsidRDefault="00B75F6D" w:rsidP="00B75F6D">
      <w:pPr>
        <w:pStyle w:val="Default"/>
        <w:rPr>
          <w:rFonts w:ascii="Arial" w:hAnsi="Arial" w:cs="Arial"/>
          <w:b/>
          <w:bCs/>
        </w:rPr>
      </w:pPr>
      <w:r w:rsidRPr="00B75F6D">
        <w:rPr>
          <w:rFonts w:ascii="Arial" w:hAnsi="Arial" w:cs="Arial"/>
          <w:b/>
          <w:bCs/>
        </w:rPr>
        <w:t xml:space="preserve">7. Record keeping standards and standards dealing with supplementary matters </w:t>
      </w:r>
    </w:p>
    <w:p w14:paraId="7F9B71EE" w14:textId="77777777" w:rsidR="00B75F6D" w:rsidRPr="00B75F6D" w:rsidRDefault="00B75F6D" w:rsidP="00B75F6D">
      <w:pPr>
        <w:rPr>
          <w:rFonts w:ascii="Arial" w:hAnsi="Arial" w:cs="Arial"/>
        </w:rPr>
      </w:pPr>
      <w:r w:rsidRPr="00B75F6D">
        <w:rPr>
          <w:rFonts w:ascii="Arial" w:hAnsi="Arial" w:cs="Arial"/>
        </w:rPr>
        <w:t>The record keeping standards can be seen at Schedule 4 in the draft regulations and standards dealing with supplementary matters can be seen at Schedule 5.</w:t>
      </w:r>
    </w:p>
    <w:p w14:paraId="096EC72D" w14:textId="77777777" w:rsidR="00B75F6D" w:rsidRPr="00B75F6D" w:rsidRDefault="00B75F6D" w:rsidP="00B75F6D">
      <w:pPr>
        <w:rPr>
          <w:rFonts w:ascii="Arial" w:hAnsi="Arial" w:cs="Arial"/>
        </w:rPr>
      </w:pPr>
    </w:p>
    <w:p w14:paraId="79DBCBCE" w14:textId="77777777" w:rsidR="00B75F6D" w:rsidRPr="00B75F6D" w:rsidRDefault="00B75F6D" w:rsidP="00B75F6D">
      <w:pPr>
        <w:rPr>
          <w:rFonts w:ascii="Arial" w:hAnsi="Arial" w:cs="Arial"/>
        </w:rPr>
      </w:pPr>
      <w:r w:rsidRPr="00B75F6D">
        <w:rPr>
          <w:rFonts w:ascii="Arial" w:hAnsi="Arial" w:cs="Arial"/>
        </w:rPr>
        <w:t>Are the duties in the draft record keeping standards and standards dealing with supplementary matters likely to have an effect on your resources or how you use those resources? YES/NO</w:t>
      </w:r>
    </w:p>
    <w:p w14:paraId="0026A277" w14:textId="77777777" w:rsidR="00B75F6D" w:rsidRPr="00B75F6D" w:rsidRDefault="00B75F6D" w:rsidP="00B75F6D">
      <w:pPr>
        <w:rPr>
          <w:rFonts w:ascii="Arial" w:hAnsi="Arial" w:cs="Arial"/>
        </w:rPr>
      </w:pPr>
    </w:p>
    <w:tbl>
      <w:tblPr>
        <w:tblStyle w:val="TableGrid"/>
        <w:tblW w:w="0" w:type="auto"/>
        <w:tblLook w:val="04A0" w:firstRow="1" w:lastRow="0" w:firstColumn="1" w:lastColumn="0" w:noHBand="0" w:noVBand="1"/>
      </w:tblPr>
      <w:tblGrid>
        <w:gridCol w:w="4505"/>
        <w:gridCol w:w="4505"/>
      </w:tblGrid>
      <w:tr w:rsidR="00B75F6D" w:rsidRPr="00B75F6D" w14:paraId="5BC77FED" w14:textId="77777777" w:rsidTr="00EE6DF1">
        <w:tc>
          <w:tcPr>
            <w:tcW w:w="4508" w:type="dxa"/>
          </w:tcPr>
          <w:p w14:paraId="65334FD3" w14:textId="77777777" w:rsidR="00B75F6D" w:rsidRPr="00B75F6D" w:rsidRDefault="00B75F6D" w:rsidP="00EE6DF1">
            <w:pPr>
              <w:rPr>
                <w:rFonts w:ascii="Arial" w:hAnsi="Arial" w:cs="Arial"/>
                <w:sz w:val="24"/>
                <w:szCs w:val="24"/>
              </w:rPr>
            </w:pPr>
          </w:p>
        </w:tc>
        <w:tc>
          <w:tcPr>
            <w:tcW w:w="4508" w:type="dxa"/>
          </w:tcPr>
          <w:p w14:paraId="7C8A2C04" w14:textId="77777777" w:rsidR="00B75F6D" w:rsidRPr="00B75F6D" w:rsidRDefault="00B75F6D" w:rsidP="00EE6DF1">
            <w:pPr>
              <w:rPr>
                <w:rFonts w:ascii="Arial" w:hAnsi="Arial" w:cs="Arial"/>
                <w:sz w:val="24"/>
                <w:szCs w:val="24"/>
              </w:rPr>
            </w:pPr>
            <w:r w:rsidRPr="00B75F6D">
              <w:rPr>
                <w:rFonts w:ascii="Arial" w:hAnsi="Arial" w:cs="Arial"/>
                <w:sz w:val="24"/>
                <w:szCs w:val="24"/>
              </w:rPr>
              <w:t>Cost to the nearest £ ‘000</w:t>
            </w:r>
          </w:p>
        </w:tc>
      </w:tr>
      <w:tr w:rsidR="00B75F6D" w:rsidRPr="00B75F6D" w14:paraId="7949F6F7" w14:textId="77777777" w:rsidTr="00EE6DF1">
        <w:tc>
          <w:tcPr>
            <w:tcW w:w="4508" w:type="dxa"/>
          </w:tcPr>
          <w:p w14:paraId="0F838549" w14:textId="77777777" w:rsidR="00B75F6D" w:rsidRPr="00B75F6D" w:rsidRDefault="00B75F6D" w:rsidP="00EE6DF1">
            <w:pPr>
              <w:rPr>
                <w:rFonts w:ascii="Arial" w:hAnsi="Arial" w:cs="Arial"/>
                <w:sz w:val="24"/>
                <w:szCs w:val="24"/>
              </w:rPr>
            </w:pPr>
            <w:r w:rsidRPr="00B75F6D">
              <w:rPr>
                <w:rFonts w:ascii="Arial" w:hAnsi="Arial" w:cs="Arial"/>
                <w:sz w:val="24"/>
                <w:szCs w:val="24"/>
              </w:rPr>
              <w:t>Complying with the draft service delivery guidelines</w:t>
            </w:r>
          </w:p>
        </w:tc>
        <w:tc>
          <w:tcPr>
            <w:tcW w:w="4508" w:type="dxa"/>
          </w:tcPr>
          <w:p w14:paraId="439D015C" w14:textId="77777777" w:rsidR="00B75F6D" w:rsidRPr="00B75F6D" w:rsidRDefault="00B75F6D" w:rsidP="00EE6DF1">
            <w:pPr>
              <w:rPr>
                <w:rFonts w:ascii="Arial" w:hAnsi="Arial" w:cs="Arial"/>
                <w:sz w:val="24"/>
                <w:szCs w:val="24"/>
              </w:rPr>
            </w:pPr>
            <w:r w:rsidRPr="00B75F6D">
              <w:rPr>
                <w:rFonts w:ascii="Arial" w:hAnsi="Arial" w:cs="Arial"/>
                <w:sz w:val="24"/>
                <w:szCs w:val="24"/>
              </w:rPr>
              <w:t>/</w:t>
            </w:r>
          </w:p>
        </w:tc>
      </w:tr>
    </w:tbl>
    <w:p w14:paraId="25946C0D" w14:textId="77777777" w:rsidR="00B75F6D" w:rsidRPr="00B75F6D" w:rsidRDefault="00B75F6D" w:rsidP="00B75F6D">
      <w:pPr>
        <w:rPr>
          <w:rFonts w:ascii="Arial" w:hAnsi="Arial" w:cs="Arial"/>
        </w:rPr>
      </w:pPr>
    </w:p>
    <w:p w14:paraId="4A01EE30" w14:textId="77777777" w:rsidR="00B75F6D" w:rsidRPr="00B75F6D" w:rsidRDefault="00B75F6D" w:rsidP="00B75F6D">
      <w:pPr>
        <w:rPr>
          <w:rFonts w:ascii="Arial" w:hAnsi="Arial" w:cs="Arial"/>
        </w:rPr>
      </w:pPr>
      <w:r w:rsidRPr="00B75F6D">
        <w:rPr>
          <w:rFonts w:ascii="Arial" w:hAnsi="Arial" w:cs="Arial"/>
        </w:rPr>
        <w:t>Further details</w:t>
      </w:r>
    </w:p>
    <w:tbl>
      <w:tblPr>
        <w:tblStyle w:val="TableGrid"/>
        <w:tblW w:w="0" w:type="auto"/>
        <w:tblLook w:val="04A0" w:firstRow="1" w:lastRow="0" w:firstColumn="1" w:lastColumn="0" w:noHBand="0" w:noVBand="1"/>
      </w:tblPr>
      <w:tblGrid>
        <w:gridCol w:w="9010"/>
      </w:tblGrid>
      <w:tr w:rsidR="00B75F6D" w:rsidRPr="00B75F6D" w14:paraId="2F318C4A" w14:textId="77777777" w:rsidTr="00EE6DF1">
        <w:tc>
          <w:tcPr>
            <w:tcW w:w="9016" w:type="dxa"/>
          </w:tcPr>
          <w:p w14:paraId="471B7B82"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Please see excel spreadsheet annexed to our submission for full breakdown. </w:t>
            </w:r>
          </w:p>
          <w:p w14:paraId="045DFC6D" w14:textId="77777777" w:rsidR="00B75F6D" w:rsidRPr="00B75F6D" w:rsidRDefault="00B75F6D" w:rsidP="00EE6DF1">
            <w:pPr>
              <w:rPr>
                <w:rFonts w:ascii="Arial" w:hAnsi="Arial" w:cs="Arial"/>
                <w:sz w:val="24"/>
                <w:szCs w:val="24"/>
              </w:rPr>
            </w:pPr>
          </w:p>
          <w:p w14:paraId="24A99F0A"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We estimate that these standards will require additional staff resources the overlap between different tasks and the staff roles involved meant that we were not able to estimate what fraction of additional staff time they would require. Where a standard had clear staff resource implications, we have included that cost as a separate item. </w:t>
            </w:r>
          </w:p>
          <w:p w14:paraId="1A471A60" w14:textId="77777777" w:rsidR="00B75F6D" w:rsidRPr="00B75F6D" w:rsidRDefault="00B75F6D" w:rsidP="00EE6DF1">
            <w:pPr>
              <w:rPr>
                <w:rFonts w:ascii="Arial" w:hAnsi="Arial" w:cs="Arial"/>
                <w:sz w:val="24"/>
                <w:szCs w:val="24"/>
              </w:rPr>
            </w:pPr>
          </w:p>
          <w:p w14:paraId="34CBA340" w14:textId="77777777" w:rsidR="00B75F6D" w:rsidRPr="00B75F6D" w:rsidRDefault="00B75F6D" w:rsidP="00EE6DF1">
            <w:pPr>
              <w:rPr>
                <w:rFonts w:ascii="Arial" w:hAnsi="Arial" w:cs="Arial"/>
                <w:sz w:val="24"/>
                <w:szCs w:val="24"/>
              </w:rPr>
            </w:pPr>
            <w:r w:rsidRPr="00B75F6D">
              <w:rPr>
                <w:rFonts w:ascii="Arial" w:hAnsi="Arial" w:cs="Arial"/>
                <w:sz w:val="24"/>
                <w:szCs w:val="24"/>
              </w:rPr>
              <w:t xml:space="preserve"> Instead, we have estimated additional staff time for most staff costs as single item in our spreadsheet. </w:t>
            </w:r>
          </w:p>
          <w:p w14:paraId="0342A7F1" w14:textId="77777777" w:rsidR="00B75F6D" w:rsidRPr="00B75F6D" w:rsidRDefault="00B75F6D" w:rsidP="00EE6DF1">
            <w:pPr>
              <w:rPr>
                <w:rFonts w:ascii="Arial" w:hAnsi="Arial" w:cs="Arial"/>
                <w:sz w:val="24"/>
                <w:szCs w:val="24"/>
              </w:rPr>
            </w:pPr>
          </w:p>
        </w:tc>
      </w:tr>
    </w:tbl>
    <w:p w14:paraId="1ADFAE28" w14:textId="77777777" w:rsidR="00B75F6D" w:rsidRPr="00B75F6D" w:rsidRDefault="00B75F6D" w:rsidP="00B75F6D">
      <w:pPr>
        <w:rPr>
          <w:rFonts w:ascii="Arial" w:hAnsi="Arial" w:cs="Arial"/>
        </w:rPr>
      </w:pPr>
    </w:p>
    <w:p w14:paraId="76C1EF5D" w14:textId="77777777" w:rsidR="004E778C" w:rsidRPr="00B75F6D" w:rsidRDefault="004E778C" w:rsidP="00B75F6D">
      <w:pPr>
        <w:rPr>
          <w:rFonts w:ascii="Arial" w:hAnsi="Arial" w:cs="Arial"/>
        </w:rPr>
      </w:pPr>
    </w:p>
    <w:sectPr w:rsidR="004E778C" w:rsidRPr="00B75F6D" w:rsidSect="000009B1">
      <w:headerReference w:type="default" r:id="rId11"/>
      <w:footerReference w:type="default" r:id="rId12"/>
      <w:headerReference w:type="first" r:id="rId13"/>
      <w:footerReference w:type="first" r:id="rId14"/>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30097" w14:textId="77777777" w:rsidR="00EB1B37" w:rsidRDefault="00EB1B37" w:rsidP="002830D8">
      <w:r>
        <w:separator/>
      </w:r>
    </w:p>
  </w:endnote>
  <w:endnote w:type="continuationSeparator" w:id="0">
    <w:p w14:paraId="175AE815" w14:textId="77777777" w:rsidR="00EB1B37" w:rsidRDefault="00EB1B37" w:rsidP="0028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ahoma"/>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718280"/>
      <w:docPartObj>
        <w:docPartGallery w:val="Page Numbers (Bottom of Page)"/>
        <w:docPartUnique/>
      </w:docPartObj>
    </w:sdtPr>
    <w:sdtEndPr>
      <w:rPr>
        <w:rFonts w:ascii="Arial" w:hAnsi="Arial" w:cs="Arial"/>
        <w:noProof/>
        <w:sz w:val="22"/>
      </w:rPr>
    </w:sdtEndPr>
    <w:sdtContent>
      <w:p w14:paraId="4930555A" w14:textId="77777777" w:rsidR="001C7885" w:rsidRPr="00D57DE6" w:rsidRDefault="001C7885">
        <w:pPr>
          <w:pStyle w:val="Footer"/>
          <w:jc w:val="center"/>
          <w:rPr>
            <w:rFonts w:ascii="Arial" w:hAnsi="Arial" w:cs="Arial"/>
            <w:sz w:val="22"/>
          </w:rPr>
        </w:pPr>
        <w:r w:rsidRPr="00D57DE6">
          <w:rPr>
            <w:rFonts w:ascii="Arial" w:hAnsi="Arial" w:cs="Arial"/>
            <w:sz w:val="22"/>
          </w:rPr>
          <w:fldChar w:fldCharType="begin"/>
        </w:r>
        <w:r w:rsidRPr="00D57DE6">
          <w:rPr>
            <w:rFonts w:ascii="Arial" w:hAnsi="Arial" w:cs="Arial"/>
            <w:sz w:val="22"/>
          </w:rPr>
          <w:instrText xml:space="preserve"> PAGE   \* MERGEFORMAT </w:instrText>
        </w:r>
        <w:r w:rsidRPr="00D57DE6">
          <w:rPr>
            <w:rFonts w:ascii="Arial" w:hAnsi="Arial" w:cs="Arial"/>
            <w:sz w:val="22"/>
          </w:rPr>
          <w:fldChar w:fldCharType="separate"/>
        </w:r>
        <w:r w:rsidR="003E49BE">
          <w:rPr>
            <w:rFonts w:ascii="Arial" w:hAnsi="Arial" w:cs="Arial"/>
            <w:sz w:val="22"/>
          </w:rPr>
          <w:t>11</w:t>
        </w:r>
        <w:r w:rsidRPr="00D57DE6">
          <w:rPr>
            <w:rFonts w:ascii="Arial" w:hAnsi="Arial" w:cs="Arial"/>
            <w:sz w:val="22"/>
          </w:rPr>
          <w:fldChar w:fldCharType="end"/>
        </w:r>
      </w:p>
    </w:sdtContent>
  </w:sdt>
  <w:p w14:paraId="5E473D27" w14:textId="77777777" w:rsidR="001C7885" w:rsidRDefault="001C7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055900"/>
      <w:docPartObj>
        <w:docPartGallery w:val="Page Numbers (Bottom of Page)"/>
        <w:docPartUnique/>
      </w:docPartObj>
    </w:sdtPr>
    <w:sdtEndPr>
      <w:rPr>
        <w:noProof/>
      </w:rPr>
    </w:sdtEndPr>
    <w:sdtContent>
      <w:p w14:paraId="3E8FDD38" w14:textId="77777777" w:rsidR="003D5110" w:rsidRDefault="003D5110">
        <w:pPr>
          <w:pStyle w:val="Footer"/>
          <w:jc w:val="center"/>
        </w:pPr>
        <w:r>
          <w:fldChar w:fldCharType="begin"/>
        </w:r>
        <w:r>
          <w:instrText xml:space="preserve"> PAGE   \* MERGEFORMAT </w:instrText>
        </w:r>
        <w:r>
          <w:fldChar w:fldCharType="separate"/>
        </w:r>
        <w:r w:rsidR="003E49BE">
          <w:t>1</w:t>
        </w:r>
        <w:r>
          <w:fldChar w:fldCharType="end"/>
        </w:r>
      </w:p>
    </w:sdtContent>
  </w:sdt>
  <w:p w14:paraId="302694F9" w14:textId="77777777" w:rsidR="003D5110" w:rsidRDefault="003D5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D1B72" w14:textId="77777777" w:rsidR="00EB1B37" w:rsidRDefault="00EB1B37" w:rsidP="002830D8">
      <w:r>
        <w:separator/>
      </w:r>
    </w:p>
  </w:footnote>
  <w:footnote w:type="continuationSeparator" w:id="0">
    <w:p w14:paraId="02303D3C" w14:textId="77777777" w:rsidR="00EB1B37" w:rsidRDefault="00EB1B37" w:rsidP="0028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CD5E" w14:textId="77777777" w:rsidR="005853F4" w:rsidRDefault="005853F4" w:rsidP="002830D8">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523D" w14:textId="77777777" w:rsidR="007A6F28" w:rsidRDefault="003B23A7">
    <w:pPr>
      <w:pStyle w:val="Header"/>
    </w:pPr>
    <w:r>
      <w:rPr>
        <w:noProof/>
      </w:rPr>
      <w:drawing>
        <wp:anchor distT="0" distB="0" distL="114300" distR="114300" simplePos="0" relativeHeight="251660288" behindDoc="1" locked="0" layoutInCell="1" allowOverlap="1" wp14:anchorId="5F213CD3" wp14:editId="6B2270F6">
          <wp:simplePos x="0" y="0"/>
          <wp:positionH relativeFrom="page">
            <wp:posOffset>175847</wp:posOffset>
          </wp:positionH>
          <wp:positionV relativeFrom="page">
            <wp:align>top</wp:align>
          </wp:positionV>
          <wp:extent cx="7560306" cy="2162266"/>
          <wp:effectExtent l="0" t="0" r="3175" b="0"/>
          <wp:wrapNone/>
          <wp:docPr id="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06" cy="2162266"/>
                  </a:xfrm>
                  <a:prstGeom prst="rect">
                    <a:avLst/>
                  </a:prstGeom>
                </pic:spPr>
              </pic:pic>
            </a:graphicData>
          </a:graphic>
        </wp:anchor>
      </w:drawing>
    </w:r>
    <w:r>
      <w:rPr>
        <w:noProof/>
      </w:rPr>
      <w:drawing>
        <wp:anchor distT="0" distB="0" distL="114300" distR="114300" simplePos="0" relativeHeight="251658240" behindDoc="1" locked="0" layoutInCell="1" allowOverlap="1" wp14:anchorId="16BFB64E" wp14:editId="585CCE0A">
          <wp:simplePos x="0" y="0"/>
          <wp:positionH relativeFrom="page">
            <wp:posOffset>0</wp:posOffset>
          </wp:positionH>
          <wp:positionV relativeFrom="page">
            <wp:posOffset>4717</wp:posOffset>
          </wp:positionV>
          <wp:extent cx="7560310" cy="2162266"/>
          <wp:effectExtent l="25400" t="0" r="8890" b="0"/>
          <wp:wrapNone/>
          <wp:docPr id="3" name="Placeholder"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2"/>
                  <a:stretch>
                    <a:fillRect/>
                  </a:stretch>
                </pic:blipFill>
                <pic:spPr>
                  <a:xfrm>
                    <a:off x="0" y="0"/>
                    <a:ext cx="7560310" cy="21622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2397"/>
    <w:multiLevelType w:val="hybridMultilevel"/>
    <w:tmpl w:val="8B584C74"/>
    <w:lvl w:ilvl="0" w:tplc="689465EE">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942936"/>
    <w:multiLevelType w:val="multilevel"/>
    <w:tmpl w:val="A83EFF4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15222A4"/>
    <w:multiLevelType w:val="hybridMultilevel"/>
    <w:tmpl w:val="3970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82E03"/>
    <w:multiLevelType w:val="hybridMultilevel"/>
    <w:tmpl w:val="AFDAE082"/>
    <w:lvl w:ilvl="0" w:tplc="FA5C39F2">
      <w:start w:val="1"/>
      <w:numFmt w:val="bullet"/>
      <w:lvlText w:val="-"/>
      <w:lvlJc w:val="left"/>
      <w:pPr>
        <w:ind w:left="-131" w:hanging="360"/>
      </w:pPr>
      <w:rPr>
        <w:rFonts w:ascii="Arial" w:hAnsi="Arial" w:hint="default"/>
        <w:color w:val="4F81BD" w:themeColor="accent1"/>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B1C2BE4"/>
    <w:multiLevelType w:val="hybridMultilevel"/>
    <w:tmpl w:val="21B69936"/>
    <w:lvl w:ilvl="0" w:tplc="693A6EAA">
      <w:start w:val="1"/>
      <w:numFmt w:val="bullet"/>
      <w:lvlText w:val=""/>
      <w:lvlJc w:val="left"/>
      <w:pPr>
        <w:ind w:left="106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5" w15:restartNumberingAfterBreak="0">
    <w:nsid w:val="24421F9E"/>
    <w:multiLevelType w:val="hybridMultilevel"/>
    <w:tmpl w:val="637C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72AB5"/>
    <w:multiLevelType w:val="multilevel"/>
    <w:tmpl w:val="A83EFF4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7E40FC"/>
    <w:multiLevelType w:val="hybridMultilevel"/>
    <w:tmpl w:val="413297D4"/>
    <w:lvl w:ilvl="0" w:tplc="75BC16D4">
      <w:start w:val="1"/>
      <w:numFmt w:val="bullet"/>
      <w:lvlText w:val=""/>
      <w:lvlJc w:val="left"/>
      <w:pPr>
        <w:ind w:left="720" w:hanging="360"/>
      </w:pPr>
      <w:rPr>
        <w:rFonts w:ascii="Wingdings" w:hAnsi="Wingdings" w:hint="default"/>
        <w:color w:val="00B0DF"/>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8" w15:restartNumberingAfterBreak="0">
    <w:nsid w:val="2C1302F6"/>
    <w:multiLevelType w:val="multilevel"/>
    <w:tmpl w:val="A80099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C617A3"/>
    <w:multiLevelType w:val="multilevel"/>
    <w:tmpl w:val="410E49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6A1F91"/>
    <w:multiLevelType w:val="hybridMultilevel"/>
    <w:tmpl w:val="8A80B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890926"/>
    <w:multiLevelType w:val="hybridMultilevel"/>
    <w:tmpl w:val="42CCF594"/>
    <w:lvl w:ilvl="0" w:tplc="693A6EAA">
      <w:start w:val="1"/>
      <w:numFmt w:val="bullet"/>
      <w:lvlText w:val=""/>
      <w:lvlJc w:val="left"/>
      <w:pPr>
        <w:ind w:left="72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12" w15:restartNumberingAfterBreak="0">
    <w:nsid w:val="3B4A4547"/>
    <w:multiLevelType w:val="multilevel"/>
    <w:tmpl w:val="410E49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6B32AC"/>
    <w:multiLevelType w:val="multilevel"/>
    <w:tmpl w:val="CABE5390"/>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0954D3"/>
    <w:multiLevelType w:val="multilevel"/>
    <w:tmpl w:val="24683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927A7A"/>
    <w:multiLevelType w:val="hybridMultilevel"/>
    <w:tmpl w:val="D9867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114133"/>
    <w:multiLevelType w:val="hybridMultilevel"/>
    <w:tmpl w:val="F5766B8C"/>
    <w:lvl w:ilvl="0" w:tplc="521C835E">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753859"/>
    <w:multiLevelType w:val="multilevel"/>
    <w:tmpl w:val="85EAEF9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6E4E73"/>
    <w:multiLevelType w:val="multilevel"/>
    <w:tmpl w:val="24683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347691E"/>
    <w:multiLevelType w:val="hybridMultilevel"/>
    <w:tmpl w:val="76029EFE"/>
    <w:lvl w:ilvl="0" w:tplc="074089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D4961"/>
    <w:multiLevelType w:val="hybridMultilevel"/>
    <w:tmpl w:val="EBF22C1C"/>
    <w:lvl w:ilvl="0" w:tplc="75BC16D4">
      <w:start w:val="1"/>
      <w:numFmt w:val="bullet"/>
      <w:lvlText w:val=""/>
      <w:lvlJc w:val="left"/>
      <w:pPr>
        <w:ind w:left="720" w:hanging="360"/>
      </w:pPr>
      <w:rPr>
        <w:rFonts w:ascii="Wingdings" w:hAnsi="Wingdings" w:hint="default"/>
        <w:color w:val="00B0DF"/>
      </w:rPr>
    </w:lvl>
    <w:lvl w:ilvl="1" w:tplc="7E0E5FC6">
      <w:numFmt w:val="bullet"/>
      <w:lvlText w:val="-"/>
      <w:lvlJc w:val="left"/>
      <w:pPr>
        <w:ind w:left="1440" w:hanging="360"/>
      </w:pPr>
      <w:rPr>
        <w:rFonts w:ascii="Arial" w:eastAsia="Times New Roman" w:hAnsi="Arial" w:cs="Arial"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abstractNum w:abstractNumId="21" w15:restartNumberingAfterBreak="0">
    <w:nsid w:val="74D30AA1"/>
    <w:multiLevelType w:val="hybridMultilevel"/>
    <w:tmpl w:val="C6B477F8"/>
    <w:lvl w:ilvl="0" w:tplc="693A6EAA">
      <w:start w:val="1"/>
      <w:numFmt w:val="bullet"/>
      <w:lvlText w:val=""/>
      <w:lvlJc w:val="left"/>
      <w:pPr>
        <w:ind w:left="720" w:hanging="360"/>
      </w:pPr>
      <w:rPr>
        <w:rFonts w:ascii="Wingdings" w:hAnsi="Wingdings" w:hint="default"/>
        <w:color w:val="4F81BD" w:themeColor="accent1"/>
      </w:rPr>
    </w:lvl>
    <w:lvl w:ilvl="1" w:tplc="04520003">
      <w:start w:val="1"/>
      <w:numFmt w:val="decimal"/>
      <w:lvlText w:val="%2."/>
      <w:lvlJc w:val="left"/>
      <w:pPr>
        <w:tabs>
          <w:tab w:val="num" w:pos="1440"/>
        </w:tabs>
        <w:ind w:left="1440" w:hanging="360"/>
      </w:pPr>
    </w:lvl>
    <w:lvl w:ilvl="2" w:tplc="04520005">
      <w:start w:val="1"/>
      <w:numFmt w:val="decimal"/>
      <w:lvlText w:val="%3."/>
      <w:lvlJc w:val="left"/>
      <w:pPr>
        <w:tabs>
          <w:tab w:val="num" w:pos="2160"/>
        </w:tabs>
        <w:ind w:left="2160" w:hanging="360"/>
      </w:pPr>
    </w:lvl>
    <w:lvl w:ilvl="3" w:tplc="04520001">
      <w:start w:val="1"/>
      <w:numFmt w:val="decimal"/>
      <w:lvlText w:val="%4."/>
      <w:lvlJc w:val="left"/>
      <w:pPr>
        <w:tabs>
          <w:tab w:val="num" w:pos="2880"/>
        </w:tabs>
        <w:ind w:left="2880" w:hanging="360"/>
      </w:pPr>
    </w:lvl>
    <w:lvl w:ilvl="4" w:tplc="04520003">
      <w:start w:val="1"/>
      <w:numFmt w:val="decimal"/>
      <w:lvlText w:val="%5."/>
      <w:lvlJc w:val="left"/>
      <w:pPr>
        <w:tabs>
          <w:tab w:val="num" w:pos="3600"/>
        </w:tabs>
        <w:ind w:left="3600" w:hanging="360"/>
      </w:pPr>
    </w:lvl>
    <w:lvl w:ilvl="5" w:tplc="04520005">
      <w:start w:val="1"/>
      <w:numFmt w:val="decimal"/>
      <w:lvlText w:val="%6."/>
      <w:lvlJc w:val="left"/>
      <w:pPr>
        <w:tabs>
          <w:tab w:val="num" w:pos="4320"/>
        </w:tabs>
        <w:ind w:left="4320" w:hanging="360"/>
      </w:pPr>
    </w:lvl>
    <w:lvl w:ilvl="6" w:tplc="04520001">
      <w:start w:val="1"/>
      <w:numFmt w:val="decimal"/>
      <w:lvlText w:val="%7."/>
      <w:lvlJc w:val="left"/>
      <w:pPr>
        <w:tabs>
          <w:tab w:val="num" w:pos="5040"/>
        </w:tabs>
        <w:ind w:left="5040" w:hanging="360"/>
      </w:pPr>
    </w:lvl>
    <w:lvl w:ilvl="7" w:tplc="04520003">
      <w:start w:val="1"/>
      <w:numFmt w:val="decimal"/>
      <w:lvlText w:val="%8."/>
      <w:lvlJc w:val="left"/>
      <w:pPr>
        <w:tabs>
          <w:tab w:val="num" w:pos="5760"/>
        </w:tabs>
        <w:ind w:left="5760" w:hanging="360"/>
      </w:pPr>
    </w:lvl>
    <w:lvl w:ilvl="8" w:tplc="04520005">
      <w:start w:val="1"/>
      <w:numFmt w:val="decimal"/>
      <w:lvlText w:val="%9."/>
      <w:lvlJc w:val="left"/>
      <w:pPr>
        <w:tabs>
          <w:tab w:val="num" w:pos="6480"/>
        </w:tabs>
        <w:ind w:left="6480" w:hanging="360"/>
      </w:pPr>
    </w:lvl>
  </w:abstractNum>
  <w:abstractNum w:abstractNumId="22" w15:restartNumberingAfterBreak="0">
    <w:nsid w:val="763E7455"/>
    <w:multiLevelType w:val="multilevel"/>
    <w:tmpl w:val="5DBA061E"/>
    <w:lvl w:ilvl="0">
      <w:start w:val="1"/>
      <w:numFmt w:val="decimal"/>
      <w:lvlText w:val="%1."/>
      <w:lvlJc w:val="left"/>
      <w:pPr>
        <w:ind w:left="360" w:hanging="360"/>
      </w:pPr>
      <w:rPr>
        <w:rFonts w:hint="default"/>
      </w:rPr>
    </w:lvl>
    <w:lvl w:ilvl="1">
      <w:start w:val="1"/>
      <w:numFmt w:val="decimal"/>
      <w:lvlText w:val="%1.%2."/>
      <w:lvlJc w:val="left"/>
      <w:pPr>
        <w:ind w:left="709" w:hanging="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2"/>
  </w:num>
  <w:num w:numId="9">
    <w:abstractNumId w:val="15"/>
  </w:num>
  <w:num w:numId="10">
    <w:abstractNumId w:val="9"/>
  </w:num>
  <w:num w:numId="11">
    <w:abstractNumId w:val="8"/>
  </w:num>
  <w:num w:numId="12">
    <w:abstractNumId w:val="17"/>
  </w:num>
  <w:num w:numId="13">
    <w:abstractNumId w:val="6"/>
  </w:num>
  <w:num w:numId="14">
    <w:abstractNumId w:val="19"/>
  </w:num>
  <w:num w:numId="15">
    <w:abstractNumId w:val="14"/>
  </w:num>
  <w:num w:numId="16">
    <w:abstractNumId w:val="0"/>
  </w:num>
  <w:num w:numId="17">
    <w:abstractNumId w:val="3"/>
  </w:num>
  <w:num w:numId="18">
    <w:abstractNumId w:val="22"/>
  </w:num>
  <w:num w:numId="19">
    <w:abstractNumId w:val="1"/>
  </w:num>
  <w:num w:numId="20">
    <w:abstractNumId w:val="4"/>
  </w:num>
  <w:num w:numId="21">
    <w:abstractNumId w:val="18"/>
  </w:num>
  <w:num w:numId="22">
    <w:abstractNumId w:val="5"/>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66"/>
    <w:rsid w:val="000009B1"/>
    <w:rsid w:val="00005AD5"/>
    <w:rsid w:val="00010DD5"/>
    <w:rsid w:val="000143F9"/>
    <w:rsid w:val="00024967"/>
    <w:rsid w:val="00024DD5"/>
    <w:rsid w:val="000378AC"/>
    <w:rsid w:val="00041616"/>
    <w:rsid w:val="00047E38"/>
    <w:rsid w:val="00061482"/>
    <w:rsid w:val="0006742D"/>
    <w:rsid w:val="00072B5A"/>
    <w:rsid w:val="00075719"/>
    <w:rsid w:val="000908DC"/>
    <w:rsid w:val="000B45CA"/>
    <w:rsid w:val="000D045D"/>
    <w:rsid w:val="000D451D"/>
    <w:rsid w:val="000E201B"/>
    <w:rsid w:val="000F1175"/>
    <w:rsid w:val="000F5625"/>
    <w:rsid w:val="001041F9"/>
    <w:rsid w:val="00105030"/>
    <w:rsid w:val="00107DF5"/>
    <w:rsid w:val="00136CDF"/>
    <w:rsid w:val="00155370"/>
    <w:rsid w:val="00162533"/>
    <w:rsid w:val="00166F98"/>
    <w:rsid w:val="00176ABA"/>
    <w:rsid w:val="0017707B"/>
    <w:rsid w:val="001C7885"/>
    <w:rsid w:val="001D12BA"/>
    <w:rsid w:val="001D286F"/>
    <w:rsid w:val="001D7C3F"/>
    <w:rsid w:val="001E3638"/>
    <w:rsid w:val="001E74D9"/>
    <w:rsid w:val="00204188"/>
    <w:rsid w:val="00204565"/>
    <w:rsid w:val="00212711"/>
    <w:rsid w:val="00216478"/>
    <w:rsid w:val="0022733C"/>
    <w:rsid w:val="00236DAD"/>
    <w:rsid w:val="002441CC"/>
    <w:rsid w:val="00247090"/>
    <w:rsid w:val="0026616D"/>
    <w:rsid w:val="00277A28"/>
    <w:rsid w:val="002803C4"/>
    <w:rsid w:val="002830D8"/>
    <w:rsid w:val="00294EFD"/>
    <w:rsid w:val="002C1424"/>
    <w:rsid w:val="002D5B14"/>
    <w:rsid w:val="00300929"/>
    <w:rsid w:val="00315068"/>
    <w:rsid w:val="00320CD0"/>
    <w:rsid w:val="00326A9F"/>
    <w:rsid w:val="00342DB0"/>
    <w:rsid w:val="00352D7C"/>
    <w:rsid w:val="00355C8B"/>
    <w:rsid w:val="003860E4"/>
    <w:rsid w:val="003A5A97"/>
    <w:rsid w:val="003A7E55"/>
    <w:rsid w:val="003B23A7"/>
    <w:rsid w:val="003B2FC6"/>
    <w:rsid w:val="003C19F5"/>
    <w:rsid w:val="003C384E"/>
    <w:rsid w:val="003D027C"/>
    <w:rsid w:val="003D5110"/>
    <w:rsid w:val="003E49BE"/>
    <w:rsid w:val="00400187"/>
    <w:rsid w:val="00400C75"/>
    <w:rsid w:val="00402708"/>
    <w:rsid w:val="0042583B"/>
    <w:rsid w:val="00463EC2"/>
    <w:rsid w:val="00473834"/>
    <w:rsid w:val="004823CA"/>
    <w:rsid w:val="004A6B4B"/>
    <w:rsid w:val="004B35EA"/>
    <w:rsid w:val="004C4416"/>
    <w:rsid w:val="004E08C0"/>
    <w:rsid w:val="004E778C"/>
    <w:rsid w:val="004F5498"/>
    <w:rsid w:val="00514017"/>
    <w:rsid w:val="00537BD9"/>
    <w:rsid w:val="00542011"/>
    <w:rsid w:val="005462DA"/>
    <w:rsid w:val="005469F1"/>
    <w:rsid w:val="00550A8D"/>
    <w:rsid w:val="00556145"/>
    <w:rsid w:val="005626A6"/>
    <w:rsid w:val="00574ECA"/>
    <w:rsid w:val="005764AC"/>
    <w:rsid w:val="00581603"/>
    <w:rsid w:val="005853F4"/>
    <w:rsid w:val="005870F7"/>
    <w:rsid w:val="005B3664"/>
    <w:rsid w:val="005C5562"/>
    <w:rsid w:val="005D39EC"/>
    <w:rsid w:val="005E7F61"/>
    <w:rsid w:val="005F2C66"/>
    <w:rsid w:val="005F2C8C"/>
    <w:rsid w:val="006119F2"/>
    <w:rsid w:val="00614941"/>
    <w:rsid w:val="00623EF0"/>
    <w:rsid w:val="00627B3D"/>
    <w:rsid w:val="00636E55"/>
    <w:rsid w:val="00644538"/>
    <w:rsid w:val="0065035B"/>
    <w:rsid w:val="00651ACD"/>
    <w:rsid w:val="00654212"/>
    <w:rsid w:val="006604EA"/>
    <w:rsid w:val="006649FB"/>
    <w:rsid w:val="0066533F"/>
    <w:rsid w:val="0068710C"/>
    <w:rsid w:val="00692C27"/>
    <w:rsid w:val="006A2A5F"/>
    <w:rsid w:val="006B790D"/>
    <w:rsid w:val="006C59C7"/>
    <w:rsid w:val="006D6B1A"/>
    <w:rsid w:val="006E40F0"/>
    <w:rsid w:val="006F603D"/>
    <w:rsid w:val="007041D6"/>
    <w:rsid w:val="00733B7D"/>
    <w:rsid w:val="007376BF"/>
    <w:rsid w:val="007503EA"/>
    <w:rsid w:val="007527B8"/>
    <w:rsid w:val="0075652D"/>
    <w:rsid w:val="00757386"/>
    <w:rsid w:val="00762B83"/>
    <w:rsid w:val="00780D22"/>
    <w:rsid w:val="00786616"/>
    <w:rsid w:val="00793D7F"/>
    <w:rsid w:val="007A2CE5"/>
    <w:rsid w:val="007A6F28"/>
    <w:rsid w:val="007B371B"/>
    <w:rsid w:val="007B4DA9"/>
    <w:rsid w:val="007C31F1"/>
    <w:rsid w:val="007D289E"/>
    <w:rsid w:val="007D5612"/>
    <w:rsid w:val="007F66C6"/>
    <w:rsid w:val="00801D4E"/>
    <w:rsid w:val="008178E1"/>
    <w:rsid w:val="00822BCF"/>
    <w:rsid w:val="00835A0E"/>
    <w:rsid w:val="0085216A"/>
    <w:rsid w:val="0086566A"/>
    <w:rsid w:val="00867538"/>
    <w:rsid w:val="00871D07"/>
    <w:rsid w:val="00876227"/>
    <w:rsid w:val="00877C18"/>
    <w:rsid w:val="00877CAF"/>
    <w:rsid w:val="0088037E"/>
    <w:rsid w:val="008851B2"/>
    <w:rsid w:val="00887FD7"/>
    <w:rsid w:val="008B6517"/>
    <w:rsid w:val="008C33A5"/>
    <w:rsid w:val="008C4212"/>
    <w:rsid w:val="008C45AF"/>
    <w:rsid w:val="008E44E3"/>
    <w:rsid w:val="008E79F7"/>
    <w:rsid w:val="008F757E"/>
    <w:rsid w:val="00904573"/>
    <w:rsid w:val="00904D02"/>
    <w:rsid w:val="009208CE"/>
    <w:rsid w:val="00922368"/>
    <w:rsid w:val="009318AB"/>
    <w:rsid w:val="00942A69"/>
    <w:rsid w:val="009473B7"/>
    <w:rsid w:val="009528FB"/>
    <w:rsid w:val="00957660"/>
    <w:rsid w:val="0096022C"/>
    <w:rsid w:val="009674E4"/>
    <w:rsid w:val="00981558"/>
    <w:rsid w:val="00992846"/>
    <w:rsid w:val="009B01E8"/>
    <w:rsid w:val="009B30CF"/>
    <w:rsid w:val="009C660E"/>
    <w:rsid w:val="009C6C3B"/>
    <w:rsid w:val="009C72AF"/>
    <w:rsid w:val="009C7E89"/>
    <w:rsid w:val="009D2DEC"/>
    <w:rsid w:val="009E0659"/>
    <w:rsid w:val="009F2B80"/>
    <w:rsid w:val="00A0089D"/>
    <w:rsid w:val="00A0243D"/>
    <w:rsid w:val="00A06E76"/>
    <w:rsid w:val="00A14CDB"/>
    <w:rsid w:val="00A35D13"/>
    <w:rsid w:val="00A567CC"/>
    <w:rsid w:val="00A8097E"/>
    <w:rsid w:val="00A922D8"/>
    <w:rsid w:val="00A94560"/>
    <w:rsid w:val="00A94851"/>
    <w:rsid w:val="00AC1FF7"/>
    <w:rsid w:val="00AC4A1B"/>
    <w:rsid w:val="00AC7557"/>
    <w:rsid w:val="00AC77BF"/>
    <w:rsid w:val="00AE1D6B"/>
    <w:rsid w:val="00AE4616"/>
    <w:rsid w:val="00AF76AC"/>
    <w:rsid w:val="00B0271F"/>
    <w:rsid w:val="00B121BE"/>
    <w:rsid w:val="00B21389"/>
    <w:rsid w:val="00B43032"/>
    <w:rsid w:val="00B63703"/>
    <w:rsid w:val="00B723DF"/>
    <w:rsid w:val="00B75F6D"/>
    <w:rsid w:val="00B77549"/>
    <w:rsid w:val="00B816AA"/>
    <w:rsid w:val="00B8567C"/>
    <w:rsid w:val="00B9276F"/>
    <w:rsid w:val="00BA77BE"/>
    <w:rsid w:val="00BD10A2"/>
    <w:rsid w:val="00BD533B"/>
    <w:rsid w:val="00BD73C0"/>
    <w:rsid w:val="00BF50BF"/>
    <w:rsid w:val="00C12B76"/>
    <w:rsid w:val="00C20AF5"/>
    <w:rsid w:val="00C409F6"/>
    <w:rsid w:val="00C41BD9"/>
    <w:rsid w:val="00C62C54"/>
    <w:rsid w:val="00C74987"/>
    <w:rsid w:val="00C84EE7"/>
    <w:rsid w:val="00C96C72"/>
    <w:rsid w:val="00CA3B56"/>
    <w:rsid w:val="00CA4098"/>
    <w:rsid w:val="00CB18F7"/>
    <w:rsid w:val="00CC25AB"/>
    <w:rsid w:val="00CD37D4"/>
    <w:rsid w:val="00CD52F6"/>
    <w:rsid w:val="00D0110A"/>
    <w:rsid w:val="00D0532F"/>
    <w:rsid w:val="00D15A29"/>
    <w:rsid w:val="00D16C45"/>
    <w:rsid w:val="00D23810"/>
    <w:rsid w:val="00D33FB2"/>
    <w:rsid w:val="00D53D49"/>
    <w:rsid w:val="00D56A97"/>
    <w:rsid w:val="00D57DE6"/>
    <w:rsid w:val="00D61D80"/>
    <w:rsid w:val="00D6363E"/>
    <w:rsid w:val="00D855C1"/>
    <w:rsid w:val="00D943E8"/>
    <w:rsid w:val="00D94B82"/>
    <w:rsid w:val="00DA1613"/>
    <w:rsid w:val="00DA2BC9"/>
    <w:rsid w:val="00DA607F"/>
    <w:rsid w:val="00DC67D1"/>
    <w:rsid w:val="00DE79EF"/>
    <w:rsid w:val="00DF2270"/>
    <w:rsid w:val="00DF273D"/>
    <w:rsid w:val="00DF53C7"/>
    <w:rsid w:val="00E10A80"/>
    <w:rsid w:val="00E1681C"/>
    <w:rsid w:val="00E3619E"/>
    <w:rsid w:val="00E6085A"/>
    <w:rsid w:val="00E652D8"/>
    <w:rsid w:val="00E65AB0"/>
    <w:rsid w:val="00E82FFA"/>
    <w:rsid w:val="00EA39BE"/>
    <w:rsid w:val="00EB1B37"/>
    <w:rsid w:val="00EF0A58"/>
    <w:rsid w:val="00EF2CAE"/>
    <w:rsid w:val="00F06595"/>
    <w:rsid w:val="00F24626"/>
    <w:rsid w:val="00F24A06"/>
    <w:rsid w:val="00F37987"/>
    <w:rsid w:val="00F50C4D"/>
    <w:rsid w:val="00F54D7E"/>
    <w:rsid w:val="00F57590"/>
    <w:rsid w:val="00F77D16"/>
    <w:rsid w:val="00FA49BC"/>
    <w:rsid w:val="00FB24BE"/>
    <w:rsid w:val="00FC6DFB"/>
    <w:rsid w:val="00FD2267"/>
    <w:rsid w:val="00FF61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19BC8"/>
  <w15:docId w15:val="{D570E383-6D86-4B96-A1B0-724BD7BF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D8"/>
    <w:pPr>
      <w:tabs>
        <w:tab w:val="center" w:pos="4320"/>
        <w:tab w:val="right" w:pos="8640"/>
      </w:tabs>
    </w:pPr>
  </w:style>
  <w:style w:type="character" w:customStyle="1" w:styleId="HeaderChar">
    <w:name w:val="Header Char"/>
    <w:basedOn w:val="DefaultParagraphFont"/>
    <w:link w:val="Header"/>
    <w:uiPriority w:val="99"/>
    <w:rsid w:val="002830D8"/>
  </w:style>
  <w:style w:type="paragraph" w:styleId="Footer">
    <w:name w:val="footer"/>
    <w:basedOn w:val="Normal"/>
    <w:link w:val="FooterChar"/>
    <w:uiPriority w:val="99"/>
    <w:unhideWhenUsed/>
    <w:rsid w:val="002830D8"/>
    <w:pPr>
      <w:tabs>
        <w:tab w:val="center" w:pos="4320"/>
        <w:tab w:val="right" w:pos="8640"/>
      </w:tabs>
    </w:pPr>
  </w:style>
  <w:style w:type="character" w:customStyle="1" w:styleId="FooterChar">
    <w:name w:val="Footer Char"/>
    <w:basedOn w:val="DefaultParagraphFont"/>
    <w:link w:val="Footer"/>
    <w:uiPriority w:val="99"/>
    <w:rsid w:val="002830D8"/>
  </w:style>
  <w:style w:type="paragraph" w:styleId="BalloonText">
    <w:name w:val="Balloon Text"/>
    <w:basedOn w:val="Normal"/>
    <w:link w:val="BalloonTextChar"/>
    <w:uiPriority w:val="99"/>
    <w:semiHidden/>
    <w:unhideWhenUsed/>
    <w:rsid w:val="002830D8"/>
    <w:rPr>
      <w:rFonts w:ascii="Lucida Grande" w:hAnsi="Lucida Grande"/>
      <w:sz w:val="18"/>
      <w:szCs w:val="18"/>
    </w:rPr>
  </w:style>
  <w:style w:type="character" w:customStyle="1" w:styleId="BalloonTextChar">
    <w:name w:val="Balloon Text Char"/>
    <w:basedOn w:val="DefaultParagraphFont"/>
    <w:link w:val="BalloonText"/>
    <w:uiPriority w:val="99"/>
    <w:semiHidden/>
    <w:rsid w:val="002830D8"/>
    <w:rPr>
      <w:rFonts w:ascii="Lucida Grande" w:hAnsi="Lucida Grande"/>
      <w:sz w:val="18"/>
      <w:szCs w:val="18"/>
    </w:rPr>
  </w:style>
  <w:style w:type="paragraph" w:customStyle="1" w:styleId="HCPCBodytext">
    <w:name w:val="HCPC Body text"/>
    <w:basedOn w:val="Normal"/>
    <w:qFormat/>
    <w:rsid w:val="00A8097E"/>
    <w:pPr>
      <w:tabs>
        <w:tab w:val="left" w:pos="6180"/>
      </w:tabs>
    </w:pPr>
    <w:rPr>
      <w:rFonts w:ascii="Helvetica" w:hAnsi="Helvetica"/>
      <w:sz w:val="22"/>
    </w:rPr>
  </w:style>
  <w:style w:type="paragraph" w:styleId="NoSpacing">
    <w:name w:val="No Spacing"/>
    <w:uiPriority w:val="1"/>
    <w:qFormat/>
    <w:rsid w:val="00AE4616"/>
    <w:rPr>
      <w:rFonts w:ascii="Arial" w:eastAsia="Times New Roman" w:hAnsi="Arial" w:cs="Arial"/>
    </w:rPr>
  </w:style>
  <w:style w:type="character" w:customStyle="1" w:styleId="ListParagraphChar">
    <w:name w:val="List Paragraph Char"/>
    <w:basedOn w:val="DefaultParagraphFont"/>
    <w:link w:val="ListParagraph"/>
    <w:uiPriority w:val="34"/>
    <w:locked/>
    <w:rsid w:val="00AE4616"/>
    <w:rPr>
      <w:rFonts w:cs="Arial"/>
    </w:rPr>
  </w:style>
  <w:style w:type="paragraph" w:styleId="ListParagraph">
    <w:name w:val="List Paragraph"/>
    <w:basedOn w:val="Normal"/>
    <w:link w:val="ListParagraphChar"/>
    <w:uiPriority w:val="34"/>
    <w:qFormat/>
    <w:rsid w:val="00AE4616"/>
    <w:pPr>
      <w:spacing w:after="240"/>
      <w:ind w:left="720"/>
      <w:contextualSpacing/>
    </w:pPr>
    <w:rPr>
      <w:rFonts w:cs="Arial"/>
    </w:rPr>
  </w:style>
  <w:style w:type="paragraph" w:customStyle="1" w:styleId="Default">
    <w:name w:val="Default"/>
    <w:rsid w:val="003D5110"/>
    <w:pPr>
      <w:autoSpaceDE w:val="0"/>
      <w:autoSpaceDN w:val="0"/>
      <w:adjustRightInd w:val="0"/>
    </w:pPr>
    <w:rPr>
      <w:rFonts w:ascii="Symbol" w:hAnsi="Symbol" w:cs="Symbol"/>
      <w:color w:val="000000"/>
    </w:rPr>
  </w:style>
  <w:style w:type="character" w:styleId="Hyperlink">
    <w:name w:val="Hyperlink"/>
    <w:basedOn w:val="DefaultParagraphFont"/>
    <w:uiPriority w:val="99"/>
    <w:unhideWhenUsed/>
    <w:rsid w:val="003D5110"/>
    <w:rPr>
      <w:color w:val="0000FF" w:themeColor="hyperlink"/>
      <w:u w:val="single"/>
    </w:rPr>
  </w:style>
  <w:style w:type="character" w:styleId="FollowedHyperlink">
    <w:name w:val="FollowedHyperlink"/>
    <w:basedOn w:val="DefaultParagraphFont"/>
    <w:uiPriority w:val="99"/>
    <w:semiHidden/>
    <w:unhideWhenUsed/>
    <w:rsid w:val="00CA3B56"/>
    <w:rPr>
      <w:color w:val="800080" w:themeColor="followedHyperlink"/>
      <w:u w:val="single"/>
    </w:rPr>
  </w:style>
  <w:style w:type="character" w:styleId="CommentReference">
    <w:name w:val="annotation reference"/>
    <w:basedOn w:val="DefaultParagraphFont"/>
    <w:uiPriority w:val="99"/>
    <w:semiHidden/>
    <w:unhideWhenUsed/>
    <w:rsid w:val="000D451D"/>
    <w:rPr>
      <w:sz w:val="16"/>
      <w:szCs w:val="16"/>
    </w:rPr>
  </w:style>
  <w:style w:type="paragraph" w:styleId="CommentText">
    <w:name w:val="annotation text"/>
    <w:basedOn w:val="Normal"/>
    <w:link w:val="CommentTextChar"/>
    <w:uiPriority w:val="99"/>
    <w:semiHidden/>
    <w:unhideWhenUsed/>
    <w:rsid w:val="000D451D"/>
    <w:rPr>
      <w:sz w:val="20"/>
      <w:szCs w:val="20"/>
    </w:rPr>
  </w:style>
  <w:style w:type="character" w:customStyle="1" w:styleId="CommentTextChar">
    <w:name w:val="Comment Text Char"/>
    <w:basedOn w:val="DefaultParagraphFont"/>
    <w:link w:val="CommentText"/>
    <w:uiPriority w:val="99"/>
    <w:semiHidden/>
    <w:rsid w:val="000D451D"/>
    <w:rPr>
      <w:sz w:val="20"/>
      <w:szCs w:val="20"/>
    </w:rPr>
  </w:style>
  <w:style w:type="paragraph" w:styleId="CommentSubject">
    <w:name w:val="annotation subject"/>
    <w:basedOn w:val="CommentText"/>
    <w:next w:val="CommentText"/>
    <w:link w:val="CommentSubjectChar"/>
    <w:uiPriority w:val="99"/>
    <w:semiHidden/>
    <w:unhideWhenUsed/>
    <w:rsid w:val="000D451D"/>
    <w:rPr>
      <w:b/>
      <w:bCs/>
    </w:rPr>
  </w:style>
  <w:style w:type="character" w:customStyle="1" w:styleId="CommentSubjectChar">
    <w:name w:val="Comment Subject Char"/>
    <w:basedOn w:val="CommentTextChar"/>
    <w:link w:val="CommentSubject"/>
    <w:uiPriority w:val="99"/>
    <w:semiHidden/>
    <w:rsid w:val="000D451D"/>
    <w:rPr>
      <w:b/>
      <w:bCs/>
      <w:sz w:val="20"/>
      <w:szCs w:val="20"/>
    </w:rPr>
  </w:style>
  <w:style w:type="paragraph" w:customStyle="1" w:styleId="legp2paratext">
    <w:name w:val="legp2paratext"/>
    <w:basedOn w:val="Normal"/>
    <w:rsid w:val="000F5625"/>
    <w:pPr>
      <w:spacing w:before="100" w:beforeAutospacing="1" w:after="100" w:afterAutospacing="1"/>
    </w:pPr>
    <w:rPr>
      <w:rFonts w:ascii="Times New Roman" w:eastAsia="Times New Roman" w:hAnsi="Times New Roman" w:cs="Times New Roman"/>
      <w:lang w:eastAsia="en-GB"/>
    </w:rPr>
  </w:style>
  <w:style w:type="paragraph" w:customStyle="1" w:styleId="legclearfix">
    <w:name w:val="legclearfix"/>
    <w:basedOn w:val="Normal"/>
    <w:rsid w:val="000F5625"/>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0F5625"/>
  </w:style>
  <w:style w:type="table" w:styleId="TableGrid">
    <w:name w:val="Table Grid"/>
    <w:basedOn w:val="TableNormal"/>
    <w:uiPriority w:val="39"/>
    <w:rsid w:val="004E778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7298">
      <w:bodyDiv w:val="1"/>
      <w:marLeft w:val="0"/>
      <w:marRight w:val="0"/>
      <w:marTop w:val="0"/>
      <w:marBottom w:val="0"/>
      <w:divBdr>
        <w:top w:val="none" w:sz="0" w:space="0" w:color="auto"/>
        <w:left w:val="none" w:sz="0" w:space="0" w:color="auto"/>
        <w:bottom w:val="none" w:sz="0" w:space="0" w:color="auto"/>
        <w:right w:val="none" w:sz="0" w:space="0" w:color="auto"/>
      </w:divBdr>
    </w:div>
    <w:div w:id="381441003">
      <w:bodyDiv w:val="1"/>
      <w:marLeft w:val="0"/>
      <w:marRight w:val="0"/>
      <w:marTop w:val="0"/>
      <w:marBottom w:val="0"/>
      <w:divBdr>
        <w:top w:val="none" w:sz="0" w:space="0" w:color="auto"/>
        <w:left w:val="none" w:sz="0" w:space="0" w:color="auto"/>
        <w:bottom w:val="none" w:sz="0" w:space="0" w:color="auto"/>
        <w:right w:val="none" w:sz="0" w:space="0" w:color="auto"/>
      </w:divBdr>
    </w:div>
    <w:div w:id="996298075">
      <w:bodyDiv w:val="1"/>
      <w:marLeft w:val="0"/>
      <w:marRight w:val="0"/>
      <w:marTop w:val="0"/>
      <w:marBottom w:val="0"/>
      <w:divBdr>
        <w:top w:val="none" w:sz="0" w:space="0" w:color="auto"/>
        <w:left w:val="none" w:sz="0" w:space="0" w:color="auto"/>
        <w:bottom w:val="none" w:sz="0" w:space="0" w:color="auto"/>
        <w:right w:val="none" w:sz="0" w:space="0" w:color="auto"/>
      </w:divBdr>
    </w:div>
    <w:div w:id="1093167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1091026C45241981C163133749E20" ma:contentTypeVersion="5" ma:contentTypeDescription="Create a new document." ma:contentTypeScope="" ma:versionID="14e9b5e8ec011c86dcbf8f21e27b39b9">
  <xsd:schema xmlns:xsd="http://www.w3.org/2001/XMLSchema" xmlns:xs="http://www.w3.org/2001/XMLSchema" xmlns:p="http://schemas.microsoft.com/office/2006/metadata/properties" xmlns:ns3="d3a7fd4d-3a80-4fdd-867d-210484a5105b" xmlns:ns4="38990bd7-f4b3-4534-a10c-27f1462f616e" targetNamespace="http://schemas.microsoft.com/office/2006/metadata/properties" ma:root="true" ma:fieldsID="454f4eeeb692f8d947061171728e841f" ns3:_="" ns4:_="">
    <xsd:import namespace="d3a7fd4d-3a80-4fdd-867d-210484a5105b"/>
    <xsd:import namespace="38990bd7-f4b3-4534-a10c-27f1462f61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7fd4d-3a80-4fdd-867d-210484a510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90bd7-f4b3-4534-a10c-27f1462f61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2C79E-0D71-4358-B5A9-A490884ED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7fd4d-3a80-4fdd-867d-210484a5105b"/>
    <ds:schemaRef ds:uri="38990bd7-f4b3-4534-a10c-27f1462f6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DFFE0-EC09-48D7-A49A-EA69AB5F9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C856B5-8A6C-4599-BDAE-EF3BBC429E69}">
  <ds:schemaRefs>
    <ds:schemaRef ds:uri="http://schemas.openxmlformats.org/officeDocument/2006/bibliography"/>
  </ds:schemaRefs>
</ds:datastoreItem>
</file>

<file path=customXml/itemProps4.xml><?xml version="1.0" encoding="utf-8"?>
<ds:datastoreItem xmlns:ds="http://schemas.openxmlformats.org/officeDocument/2006/customXml" ds:itemID="{D50E39DA-2ECF-42DB-93C7-F29ED6C07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iteId">
    <vt:lpwstr>204c66d3-15b2-4b28-920b-3969a52f1f8e</vt:lpwstr>
  </property>
  <property fmtid="{D5CDD505-2E9C-101B-9397-08002B2CF9AE}" pid="4" name="MSIP_Label_9811e234-adb8-40d2-945d-32bf08ea3300_Owner">
    <vt:lpwstr>birdo@hcpc-uk.org</vt:lpwstr>
  </property>
  <property fmtid="{D5CDD505-2E9C-101B-9397-08002B2CF9AE}" pid="5" name="MSIP_Label_9811e234-adb8-40d2-945d-32bf08ea3300_SetDate">
    <vt:lpwstr>2019-07-04T16:03:23.2411350Z</vt:lpwstr>
  </property>
  <property fmtid="{D5CDD505-2E9C-101B-9397-08002B2CF9AE}" pid="6" name="MSIP_Label_9811e234-adb8-40d2-945d-32bf08ea3300_Name">
    <vt:lpwstr>Unrestricted</vt:lpwstr>
  </property>
  <property fmtid="{D5CDD505-2E9C-101B-9397-08002B2CF9AE}" pid="7" name="MSIP_Label_9811e234-adb8-40d2-945d-32bf08ea3300_Application">
    <vt:lpwstr>Microsoft Azure Information Protection</vt:lpwstr>
  </property>
  <property fmtid="{D5CDD505-2E9C-101B-9397-08002B2CF9AE}" pid="8" name="MSIP_Label_9811e234-adb8-40d2-945d-32bf08ea3300_Extended_MSFT_Method">
    <vt:lpwstr>Manual</vt:lpwstr>
  </property>
  <property fmtid="{D5CDD505-2E9C-101B-9397-08002B2CF9AE}" pid="9" name="Sensitivity">
    <vt:lpwstr>Unrestricted</vt:lpwstr>
  </property>
  <property fmtid="{D5CDD505-2E9C-101B-9397-08002B2CF9AE}" pid="10" name="ContentTypeId">
    <vt:lpwstr>0x0101008011091026C45241981C163133749E20</vt:lpwstr>
  </property>
</Properties>
</file>